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ind w:left="0" w:firstLine="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876"/>
        <w:ind w:left="0" w:firstLine="0"/>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876"/>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6"/>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6"/>
        <w:ind w:firstLine="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6"/>
        <w:ind w:firstLine="0"/>
        <w:jc w:val="center"/>
        <w:rPr>
          <w:rFonts w:hint="default"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项目编号：JSZC-320900-RHHH-G2025-0141</w:t>
      </w:r>
      <w:r/>
    </w:p>
    <w:p>
      <w:pPr>
        <w:pStyle w:val="876"/>
        <w:ind w:left="0"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876"/>
        <w:ind w:firstLine="0"/>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盐城市妇幼保健院保安服务</w:t>
      </w:r>
      <w:r/>
    </w:p>
    <w:p>
      <w:pPr>
        <w:pStyle w:val="876"/>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76"/>
        <w:ind w:firstLine="0"/>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1"/>
        <w:jc w:val="center"/>
        <w:spacing w:before="120" w:beforeAutospacing="0" w:after="120" w:afterAutospacing="0" w:line="400" w:lineRule="exact"/>
        <w:rPr>
          <w:rFonts w:hint="default" w:ascii="黑体" w:hAnsi="黑体" w:eastAsia="黑体" w:cs="黑体"/>
          <w:bCs/>
          <w:color w:val="auto"/>
          <w:sz w:val="32"/>
          <w:szCs w:val="32"/>
          <w:highlight w:val="none"/>
          <w:lang w:val="en-US" w:eastAsia="zh-CN"/>
        </w:rPr>
        <w:outlineLvl w:val="0"/>
      </w:pPr>
      <w:r>
        <w:rPr>
          <w:rFonts w:hint="eastAsia" w:ascii="黑体" w:hAnsi="黑体" w:eastAsia="黑体" w:cs="黑体"/>
          <w:bCs/>
          <w:color w:val="auto"/>
          <w:sz w:val="32"/>
          <w:szCs w:val="32"/>
          <w:highlight w:val="none"/>
          <w:lang w:val="en-US" w:eastAsia="zh-CN"/>
        </w:rPr>
        <w:t xml:space="preserve">采购人：</w:t>
      </w:r>
      <w:r>
        <w:rPr>
          <w:rFonts w:hint="eastAsia" w:ascii="黑体" w:hAnsi="黑体" w:eastAsia="黑体" w:cs="黑体"/>
          <w:bCs/>
          <w:color w:val="auto"/>
          <w:sz w:val="32"/>
          <w:szCs w:val="32"/>
          <w:highlight w:val="none"/>
          <w:lang w:eastAsia="zh-CN"/>
        </w:rPr>
        <w:t xml:space="preserve">盐城市</w:t>
      </w:r>
      <w:r>
        <w:rPr>
          <w:rFonts w:hint="eastAsia" w:ascii="黑体" w:hAnsi="黑体" w:eastAsia="黑体" w:cs="黑体"/>
          <w:bCs/>
          <w:color w:val="auto"/>
          <w:sz w:val="32"/>
          <w:szCs w:val="32"/>
          <w:highlight w:val="none"/>
          <w:lang w:val="en-US" w:eastAsia="zh-CN"/>
        </w:rPr>
        <w:t xml:space="preserve">妇幼保健院</w:t>
      </w:r>
      <w:r/>
    </w:p>
    <w:p>
      <w:pPr>
        <w:pStyle w:val="791"/>
        <w:jc w:val="center"/>
        <w:spacing w:before="120" w:beforeAutospacing="0" w:after="120" w:afterAutospacing="0" w:line="400" w:lineRule="exact"/>
        <w:rPr>
          <w:rFonts w:hint="default" w:ascii="黑体" w:hAnsi="黑体" w:eastAsia="黑体" w:cs="黑体"/>
          <w:bCs/>
          <w:color w:val="auto"/>
          <w:sz w:val="32"/>
          <w:szCs w:val="32"/>
          <w:highlight w:val="none"/>
          <w:lang w:val="en-US" w:eastAsia="zh-CN"/>
        </w:rPr>
        <w:outlineLvl w:val="0"/>
      </w:pPr>
      <w:r>
        <w:rPr>
          <w:rFonts w:hint="eastAsia" w:ascii="黑体" w:hAnsi="黑体" w:eastAsia="黑体" w:cs="黑体"/>
          <w:bCs/>
          <w:color w:val="auto"/>
          <w:sz w:val="32"/>
          <w:szCs w:val="32"/>
          <w:highlight w:val="none"/>
          <w:lang w:val="en-US" w:eastAsia="zh-CN"/>
        </w:rPr>
        <w:t xml:space="preserve">代理机构：江苏仁禾中衡工程咨询房地产估价有限公司</w:t>
      </w:r>
      <w:r/>
    </w:p>
    <w:p>
      <w:pPr>
        <w:pStyle w:val="791"/>
        <w:jc w:val="center"/>
        <w:spacing w:before="120" w:beforeAutospacing="0" w:after="120" w:afterAutospacing="0" w:line="400" w:lineRule="exact"/>
        <w:rPr>
          <w:rFonts w:hint="eastAsia" w:ascii="黑体" w:hAnsi="黑体" w:eastAsia="黑体" w:cs="黑体"/>
          <w:bCs/>
          <w:color w:val="auto"/>
          <w:sz w:val="32"/>
          <w:szCs w:val="32"/>
          <w:highlight w:val="none"/>
        </w:rPr>
        <w:outlineLvl w:val="0"/>
      </w:pPr>
      <w:r>
        <w:rPr>
          <w:rFonts w:hint="eastAsia" w:ascii="黑体" w:hAnsi="黑体" w:eastAsia="黑体" w:cs="黑体"/>
          <w:bCs/>
          <w:color w:val="auto"/>
          <w:sz w:val="32"/>
          <w:szCs w:val="32"/>
          <w:highlight w:val="none"/>
        </w:rPr>
        <w:t xml:space="preserve">2025年</w:t>
      </w:r>
      <w:r>
        <w:rPr>
          <w:rFonts w:hint="eastAsia" w:ascii="黑体" w:hAnsi="黑体" w:eastAsia="黑体" w:cs="黑体"/>
          <w:bCs/>
          <w:color w:val="auto"/>
          <w:sz w:val="32"/>
          <w:szCs w:val="32"/>
          <w:highlight w:val="none"/>
          <w:lang w:val="en-US" w:eastAsia="zh-CN"/>
        </w:rPr>
        <w:t xml:space="preserve">12</w:t>
      </w:r>
      <w:r>
        <w:rPr>
          <w:rFonts w:hint="eastAsia" w:ascii="黑体" w:hAnsi="黑体" w:eastAsia="黑体" w:cs="黑体"/>
          <w:bCs/>
          <w:color w:val="auto"/>
          <w:sz w:val="32"/>
          <w:szCs w:val="32"/>
          <w:highlight w:val="none"/>
        </w:rPr>
        <w:t xml:space="preserve">月</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67"/>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sectPr>
          <w:headerReference w:type="default" r:id="rId9"/>
          <w:headerReference w:type="first" r:id="rId10"/>
          <w:footerReference w:type="even" r:id="rId12"/>
          <w:footnotePr/>
          <w:endnotePr/>
          <w:type w:val="nextPage"/>
          <w:pgSz w:w="11906" w:h="16838" w:orient="portrait"/>
          <w:pgMar w:top="1298" w:right="1196" w:bottom="1208" w:left="1259" w:header="851" w:footer="907" w:gutter="0"/>
          <w:cols w:num="1" w:sep="0" w:space="1701" w:equalWidth="1"/>
          <w:docGrid w:linePitch="360"/>
          <w:titlePg/>
        </w:sectPr>
      </w:pPr>
      <w:r>
        <w:rPr>
          <w:rFonts w:hint="eastAsia" w:ascii="宋体" w:hAnsi="宋体" w:eastAsia="宋体" w:cs="宋体"/>
          <w:b/>
          <w:color w:val="auto"/>
          <w:sz w:val="28"/>
          <w:szCs w:val="28"/>
          <w:highlight w:val="none"/>
        </w:rPr>
      </w:r>
      <w:r/>
    </w:p>
    <w:p>
      <w:pPr>
        <w:numPr>
          <w:ilvl w:val="0"/>
          <w:numId w:val="0"/>
        </w:numPr>
        <w:jc w:val="center"/>
        <w:spacing w:line="560" w:lineRule="exact"/>
        <w:rPr>
          <w:rFonts w:hint="eastAsia"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rPr>
      </w:r>
      <w:r/>
    </w:p>
    <w:p>
      <w:pPr>
        <w:numPr>
          <w:ilvl w:val="0"/>
          <w:numId w:val="0"/>
        </w:numPr>
        <w:jc w:val="center"/>
        <w:spacing w:line="560" w:lineRule="exact"/>
        <w:rPr>
          <w:rFonts w:hint="eastAsia" w:ascii="黑体" w:hAnsi="Showcard Gothic" w:eastAsia="黑体" w:cs="Times New Roman"/>
          <w:color w:val="auto"/>
          <w:sz w:val="40"/>
          <w:szCs w:val="28"/>
          <w:highlight w:val="none"/>
        </w:rPr>
        <w:outlineLvl w:val="0"/>
      </w:pPr>
      <w:r>
        <w:rPr>
          <w:rFonts w:hint="eastAsia" w:ascii="黑体" w:hAnsi="Showcard Gothic" w:eastAsia="黑体" w:cs="Times New Roman"/>
          <w:color w:val="auto"/>
          <w:sz w:val="40"/>
          <w:szCs w:val="28"/>
          <w:highlight w:val="none"/>
        </w:rPr>
        <w:t xml:space="preserve">总  目  录</w:t>
      </w:r>
      <w:r/>
    </w:p>
    <w:p>
      <w:pPr>
        <w:rPr>
          <w:b/>
          <w:color w:val="auto"/>
          <w:sz w:val="28"/>
          <w:highlight w:val="none"/>
        </w:rPr>
      </w:pPr>
      <w:r>
        <w:rPr>
          <w:b/>
          <w:color w:val="auto"/>
          <w:sz w:val="28"/>
          <w:highlight w:val="none"/>
        </w:rPr>
      </w:r>
      <w:r/>
    </w:p>
    <w:p>
      <w:pPr>
        <w:numPr>
          <w:ilvl w:val="0"/>
          <w:numId w:val="0"/>
        </w:numPr>
        <w:jc w:val="center"/>
        <w:spacing w:line="560" w:lineRule="exact"/>
        <w:rPr>
          <w:rFonts w:hint="eastAsia" w:ascii="黑体" w:hAnsi="Showcard Gothic" w:eastAsia="黑体" w:cs="Times New Roman"/>
          <w:color w:val="auto"/>
          <w:sz w:val="36"/>
          <w:highlight w:val="none"/>
          <w:lang w:eastAsia="zh-CN"/>
        </w:rPr>
        <w:outlineLvl w:val="0"/>
      </w:pPr>
      <w:r>
        <w:rPr>
          <w:rFonts w:hint="eastAsia" w:ascii="黑体" w:hAnsi="Showcard Gothic" w:eastAsia="黑体" w:cs="Times New Roman"/>
          <w:color w:val="auto"/>
          <w:sz w:val="36"/>
          <w:highlight w:val="none"/>
          <w:lang w:val="en-US" w:eastAsia="zh-CN"/>
        </w:rPr>
        <w:t xml:space="preserve">第一章</w:t>
      </w:r>
      <w:r>
        <w:rPr>
          <w:rFonts w:hint="eastAsia" w:ascii="黑体" w:hAnsi="Showcard Gothic" w:eastAsia="黑体" w:cs="Times New Roman"/>
          <w:color w:val="auto"/>
          <w:sz w:val="36"/>
          <w:highlight w:val="none"/>
        </w:rPr>
        <w:t xml:space="preserve"> </w:t>
      </w: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招标公告………………………………</w:t>
      </w:r>
      <w:r>
        <w:rPr>
          <w:rFonts w:hint="eastAsia" w:ascii="黑体" w:hAnsi="Showcard Gothic" w:eastAsia="黑体" w:cs="Times New Roman"/>
          <w:color w:val="auto"/>
          <w:sz w:val="36"/>
          <w:highlight w:val="none"/>
          <w:lang w:val="en-US" w:eastAsia="zh-CN"/>
        </w:rPr>
        <w:t xml:space="preserve">2</w:t>
      </w:r>
      <w:r/>
    </w:p>
    <w:p>
      <w:pPr>
        <w:numPr>
          <w:ilvl w:val="0"/>
          <w:numId w:val="0"/>
        </w:numPr>
        <w:jc w:val="center"/>
        <w:spacing w:line="560" w:lineRule="exact"/>
        <w:rPr>
          <w:rFonts w:hint="eastAsia"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lang w:val="en-US" w:eastAsia="zh-CN"/>
        </w:rPr>
        <w:t xml:space="preserve">第二章</w:t>
      </w:r>
      <w:r>
        <w:rPr>
          <w:rFonts w:hint="eastAsia" w:ascii="黑体" w:hAnsi="Showcard Gothic" w:eastAsia="黑体" w:cs="Times New Roman"/>
          <w:color w:val="auto"/>
          <w:sz w:val="36"/>
          <w:highlight w:val="none"/>
        </w:rPr>
        <w:t xml:space="preserve"> </w:t>
      </w: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投标人须知……………………………5</w:t>
      </w:r>
      <w:r/>
    </w:p>
    <w:p>
      <w:pPr>
        <w:numPr>
          <w:ilvl w:val="0"/>
          <w:numId w:val="0"/>
        </w:numPr>
        <w:jc w:val="center"/>
        <w:spacing w:line="560" w:lineRule="exact"/>
        <w:rPr>
          <w:rFonts w:ascii="黑体" w:hAnsi="Showcard Gothic" w:eastAsia="黑体" w:cs="Times New Roman"/>
          <w:color w:val="auto"/>
          <w:sz w:val="36"/>
          <w:highlight w:val="none"/>
        </w:rPr>
        <w:outlineLvl w:val="0"/>
      </w:pPr>
      <w:r>
        <w:rPr>
          <w:rFonts w:hint="eastAsia" w:ascii="黑体" w:hAnsi="Showcard Gothic" w:eastAsia="黑体" w:cs="Times New Roman"/>
          <w:color w:val="auto"/>
          <w:sz w:val="36"/>
          <w:highlight w:val="none"/>
          <w:lang w:val="en-US" w:eastAsia="zh-CN"/>
        </w:rPr>
        <w:t xml:space="preserve"> 第三章  </w:t>
      </w:r>
      <w:r>
        <w:rPr>
          <w:rFonts w:hint="eastAsia" w:ascii="黑体" w:hAnsi="Showcard Gothic" w:eastAsia="黑体" w:cs="Times New Roman"/>
          <w:color w:val="auto"/>
          <w:sz w:val="36"/>
          <w:highlight w:val="none"/>
        </w:rPr>
        <w:t xml:space="preserve">合同文本………………………………2</w:t>
      </w:r>
      <w:r>
        <w:rPr>
          <w:rFonts w:hint="eastAsia" w:ascii="黑体" w:hAnsi="Showcard Gothic" w:eastAsia="黑体" w:cs="Times New Roman"/>
          <w:color w:val="auto"/>
          <w:sz w:val="36"/>
          <w:highlight w:val="none"/>
          <w:lang w:val="en-US" w:eastAsia="zh-CN"/>
        </w:rPr>
        <w:t xml:space="preserve">2</w:t>
      </w:r>
      <w:r/>
    </w:p>
    <w:p>
      <w:pPr>
        <w:jc w:val="center"/>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第四章  采购需求………………………………</w:t>
      </w:r>
      <w:r>
        <w:rPr>
          <w:rFonts w:hint="eastAsia" w:ascii="黑体" w:hAnsi="Showcard Gothic" w:eastAsia="黑体" w:cs="Times New Roman"/>
          <w:color w:val="auto"/>
          <w:sz w:val="36"/>
          <w:highlight w:val="none"/>
          <w:lang w:val="en-US" w:eastAsia="zh-CN"/>
        </w:rPr>
        <w:t xml:space="preserve">29</w:t>
      </w:r>
      <w:r/>
    </w:p>
    <w:p>
      <w:pPr>
        <w:jc w:val="center"/>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第五章  评标方法与评标标准…………………</w:t>
      </w:r>
      <w:r>
        <w:rPr>
          <w:rFonts w:hint="eastAsia" w:ascii="黑体" w:hAnsi="Showcard Gothic" w:eastAsia="黑体" w:cs="Times New Roman"/>
          <w:color w:val="auto"/>
          <w:sz w:val="36"/>
          <w:highlight w:val="none"/>
          <w:lang w:val="en-US" w:eastAsia="zh-CN"/>
        </w:rPr>
        <w:t xml:space="preserve">65</w:t>
      </w:r>
      <w:r/>
    </w:p>
    <w:p>
      <w:pPr>
        <w:jc w:val="center"/>
        <w:spacing w:line="560" w:lineRule="exact"/>
        <w:rPr>
          <w:rFonts w:hint="default" w:ascii="黑体" w:hAnsi="Showcard Gothic" w:eastAsia="黑体" w:cs="Times New Roman"/>
          <w:color w:val="auto"/>
          <w:sz w:val="36"/>
          <w:highlight w:val="none"/>
          <w:lang w:val="en-US" w:eastAsia="zh-CN"/>
        </w:rPr>
        <w:outlineLvl w:val="0"/>
      </w:pPr>
      <w:r>
        <w:rPr>
          <w:rFonts w:hint="eastAsia" w:ascii="黑体" w:hAnsi="Showcard Gothic" w:eastAsia="黑体" w:cs="Times New Roman"/>
          <w:color w:val="auto"/>
          <w:sz w:val="36"/>
          <w:highlight w:val="none"/>
          <w:lang w:val="en-US" w:eastAsia="zh-CN"/>
        </w:rPr>
        <w:t xml:space="preserve"> </w:t>
      </w:r>
      <w:r>
        <w:rPr>
          <w:rFonts w:hint="eastAsia" w:ascii="黑体" w:hAnsi="Showcard Gothic" w:eastAsia="黑体" w:cs="Times New Roman"/>
          <w:color w:val="auto"/>
          <w:sz w:val="36"/>
          <w:highlight w:val="none"/>
        </w:rPr>
        <w:t xml:space="preserve">第六章  投标文件格式…………………………70</w:t>
      </w:r>
      <w:r/>
    </w:p>
    <w:p>
      <w:pPr>
        <w:pStyle w:val="984"/>
        <w:jc w:val="both"/>
        <w:spacing w:beforeAutospacing="0" w:afterAutospacing="0"/>
        <w:rPr>
          <w:rFonts w:hint="eastAsia" w:ascii="宋体" w:hAnsi="宋体" w:eastAsia="宋体" w:cs="宋体"/>
          <w:color w:val="auto"/>
          <w:sz w:val="24"/>
          <w:szCs w:val="44"/>
          <w:highlight w:val="none"/>
          <w:lang w:val="en-US" w:eastAsia="zh-CN" w:bidi="ar-SA"/>
        </w:rPr>
        <w:outlineLvl w:val="9"/>
      </w:pPr>
      <w:r>
        <w:rPr>
          <w:rFonts w:hint="eastAsia" w:ascii="宋体" w:hAnsi="宋体" w:eastAsia="宋体" w:cs="宋体"/>
          <w:color w:val="auto"/>
          <w:sz w:val="24"/>
          <w:szCs w:val="44"/>
          <w:highlight w:val="none"/>
          <w:lang w:val="en-US" w:eastAsia="zh-CN" w:bidi="ar-SA"/>
        </w:rPr>
      </w:r>
      <w:r/>
    </w:p>
    <w:p>
      <w:pPr>
        <w:pStyle w:val="984"/>
        <w:jc w:val="both"/>
        <w:spacing w:beforeAutospacing="0" w:afterAutospacing="0"/>
        <w:rPr>
          <w:rFonts w:hint="eastAsia" w:ascii="宋体" w:hAnsi="宋体" w:eastAsia="宋体" w:cs="宋体"/>
          <w:color w:val="auto"/>
          <w:sz w:val="24"/>
          <w:szCs w:val="44"/>
          <w:highlight w:val="none"/>
          <w:lang w:val="en-US" w:eastAsia="zh-CN" w:bidi="ar-SA"/>
        </w:rPr>
        <w:sectPr>
          <w:footerReference w:type="default" r:id="rId13"/>
          <w:footnotePr/>
          <w:endnotePr/>
          <w:type w:val="nextPage"/>
          <w:pgSz w:w="11906" w:h="16838" w:orient="portrait"/>
          <w:pgMar w:top="1440" w:right="1633" w:bottom="1440" w:left="1633" w:header="851" w:footer="992" w:gutter="0"/>
          <w:pgNumType w:start="1"/>
          <w:cols w:num="1" w:sep="0" w:space="425" w:equalWidth="1"/>
          <w:docGrid w:linePitch="360"/>
        </w:sectPr>
        <w:outlineLvl w:val="9"/>
      </w:pPr>
      <w:r>
        <w:rPr>
          <w:rFonts w:hint="eastAsia" w:ascii="宋体" w:hAnsi="宋体" w:eastAsia="宋体" w:cs="宋体"/>
          <w:color w:val="auto"/>
          <w:sz w:val="24"/>
          <w:szCs w:val="44"/>
          <w:highlight w:val="none"/>
          <w:lang w:val="en-US" w:eastAsia="zh-CN" w:bidi="ar-SA"/>
        </w:rPr>
      </w:r>
      <w:r/>
    </w:p>
    <w:p>
      <w:pPr>
        <w:pStyle w:val="984"/>
        <w:jc w:val="center"/>
        <w:spacing w:beforeAutospacing="0" w:afterAutospacing="0"/>
        <w:rPr>
          <w:rFonts w:hint="eastAsia" w:ascii="黑体" w:hAnsi="黑体" w:eastAsia="黑体" w:cs="黑体"/>
          <w:color w:val="auto"/>
          <w:sz w:val="44"/>
          <w:szCs w:val="20"/>
          <w:highlight w:val="none"/>
          <w:lang w:val="en-US" w:eastAsia="zh-CN" w:bidi="ar-SA"/>
        </w:rPr>
        <w:outlineLvl w:val="0"/>
      </w:pPr>
      <w:r/>
      <w:bookmarkStart w:id="0" w:name="_Toc1413"/>
      <w:r>
        <w:rPr>
          <w:rFonts w:hint="eastAsia" w:ascii="黑体" w:hAnsi="黑体" w:eastAsia="黑体" w:cs="黑体"/>
          <w:color w:val="auto"/>
          <w:sz w:val="44"/>
          <w:szCs w:val="20"/>
          <w:highlight w:val="none"/>
          <w:lang w:val="en-US" w:eastAsia="zh-CN" w:bidi="ar-SA"/>
        </w:rPr>
        <w:t xml:space="preserve">第一章 招标公告</w:t>
      </w:r>
      <w:bookmarkEnd w:id="0"/>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lang w:eastAsia="zh-CN"/>
        </w:rPr>
        <w:t xml:space="preserve">项目概况</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4"/>
          <w:highlight w:val="none"/>
          <w:lang w:eastAsia="zh-CN"/>
        </w:rPr>
        <w:t xml:space="preserve">盐城市妇幼保健院保安服务项目JSZC-320900-RHHH-G2025-0141的潜在投标人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eastAsia="zh-CN"/>
        </w:rPr>
        <w:t xml:space="preserve">在“苏采云”系统内免费下载（投标人必须在苏采云系统中获取采购文件，方能参与政府采购项目）获取招标文件，并于202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分（北京时间）前递交投标文件。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1.项目编号：JSZC-320900-RHHH-G2025-0141</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盐城市妇幼保健院保安服务项目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360</w:t>
      </w:r>
      <w:r>
        <w:rPr>
          <w:rFonts w:hint="eastAsia" w:ascii="宋体" w:hAnsi="宋体" w:eastAsia="宋体" w:cs="宋体"/>
          <w:color w:val="auto"/>
          <w:sz w:val="24"/>
          <w:szCs w:val="24"/>
          <w:highlight w:val="none"/>
          <w:lang w:eastAsia="zh-CN"/>
        </w:rPr>
        <w:t xml:space="preserve">万元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r>
        <w:rPr>
          <w:rFonts w:hint="eastAsia" w:ascii="宋体" w:hAnsi="宋体" w:cs="宋体"/>
          <w:color w:val="auto"/>
          <w:sz w:val="24"/>
          <w:szCs w:val="24"/>
          <w:highlight w:val="none"/>
          <w:lang w:val="en-US" w:eastAsia="zh-CN"/>
        </w:rPr>
        <w:t xml:space="preserve">360</w:t>
      </w:r>
      <w:r>
        <w:rPr>
          <w:rFonts w:hint="eastAsia" w:ascii="宋体" w:hAnsi="宋体" w:eastAsia="宋体" w:cs="宋体"/>
          <w:color w:val="auto"/>
          <w:sz w:val="24"/>
          <w:szCs w:val="24"/>
          <w:highlight w:val="none"/>
          <w:lang w:eastAsia="zh-CN"/>
        </w:rPr>
        <w:t xml:space="preserve">万元</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6.采购需求（简介）：盐城市妇幼保健院保安服务</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主要包含：院内（含分院）公共场所的安全防范和公共秩序管理；院内道路交通安全管理；院内的日常安全防范管理；院内的消防安全管理；院内全部公共建筑物范围内的公共安全防范管理及治安维护工作；院内重大活动期间的公共安全防范与秩序维护等； 医院门前“三包”及公共秩序管理。详细内容见本招标文件第四章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8.本项目（是/否）接受联合体投标：否。</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cs="宋体"/>
          <w:color w:val="auto"/>
          <w:sz w:val="24"/>
          <w:szCs w:val="24"/>
          <w:highlight w:val="none"/>
          <w:lang w:val="en-US" w:eastAsia="zh-CN"/>
        </w:rPr>
        <w:t xml:space="preserve">表</w:t>
      </w:r>
      <w:r>
        <w:rPr>
          <w:rFonts w:hint="eastAsia" w:ascii="宋体" w:hAnsi="宋体" w:eastAsia="宋体" w:cs="宋体"/>
          <w:color w:val="auto"/>
          <w:sz w:val="24"/>
          <w:szCs w:val="24"/>
          <w:highlight w:val="none"/>
        </w:rPr>
        <w:t xml:space="preserve">（成立不满一年无需提供）。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1.3具备履行合同所必需的设备和专业技术能力的书面声明。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1.8单位负责人为同一人或者存在直接控股、管理关系的不同供应商，不得参加同一合同项下的政府采购活动。（投标文件中需提供</w:t>
      </w:r>
      <w:r>
        <w:rPr>
          <w:rFonts w:hint="eastAsia" w:ascii="宋体" w:hAnsi="宋体" w:eastAsia="宋体" w:cs="宋体"/>
          <w:color w:val="auto"/>
          <w:sz w:val="24"/>
          <w:szCs w:val="24"/>
          <w:highlight w:val="none"/>
          <w:lang w:eastAsia="zh-CN"/>
        </w:rPr>
        <w:t xml:space="preserve">声明</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本项目专门面向中小企业采购。采购标的的所属行业为</w:t>
      </w:r>
      <w:r>
        <w:rPr>
          <w:rFonts w:hint="eastAsia" w:ascii="宋体" w:hAnsi="宋体" w:cs="宋体"/>
          <w:b/>
          <w:bCs/>
          <w:color w:val="auto"/>
          <w:sz w:val="24"/>
          <w:szCs w:val="24"/>
          <w:highlight w:val="none"/>
          <w:lang w:val="en-US" w:eastAsia="zh-CN"/>
        </w:rPr>
        <w:t xml:space="preserve">其他未列明行业</w:t>
      </w:r>
      <w:r>
        <w:rPr>
          <w:rFonts w:hint="eastAsia" w:ascii="宋体" w:hAnsi="宋体" w:eastAsia="宋体" w:cs="宋体"/>
          <w:b/>
          <w:bCs/>
          <w:color w:val="auto"/>
          <w:sz w:val="24"/>
          <w:szCs w:val="24"/>
          <w:highlight w:val="none"/>
        </w:rPr>
        <w:t xml:space="preserve">，投标人需按照采购文件的要求提供相应的《中小企业声明函》。企业标准请参照《关于印发中小企业划型标准规定的通知》（工信部联企业</w:t>
      </w:r>
      <w:r>
        <w:rPr>
          <w:rFonts w:hint="eastAsia" w:ascii="宋体" w:hAnsi="宋体" w:eastAsia="宋体" w:cs="宋体"/>
          <w:b/>
          <w:bCs/>
          <w:color w:val="auto"/>
          <w:sz w:val="24"/>
          <w:szCs w:val="24"/>
          <w:highlight w:val="none"/>
          <w:lang w:eastAsia="zh-CN"/>
        </w:rPr>
        <w:t xml:space="preserve">〔2011〕300号</w:t>
      </w:r>
      <w:r>
        <w:rPr>
          <w:rFonts w:hint="eastAsia" w:ascii="宋体" w:hAnsi="宋体" w:eastAsia="宋体" w:cs="宋体"/>
          <w:b/>
          <w:bCs/>
          <w:color w:val="auto"/>
          <w:sz w:val="24"/>
          <w:szCs w:val="24"/>
          <w:highlight w:val="none"/>
        </w:rPr>
        <w:t xml:space="preserve">）文件规定自行填写。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投标人须具有省级及以上</w:t>
      </w:r>
      <w:r>
        <w:rPr>
          <w:rFonts w:hint="eastAsia" w:ascii="宋体" w:hAnsi="宋体" w:eastAsia="宋体" w:cs="宋体"/>
          <w:color w:val="auto"/>
          <w:sz w:val="24"/>
          <w:szCs w:val="24"/>
          <w:highlight w:val="none"/>
        </w:rPr>
        <w:t xml:space="preserve">公安</w:t>
      </w:r>
      <w:r>
        <w:rPr>
          <w:rFonts w:hint="eastAsia" w:ascii="宋体" w:hAnsi="宋体" w:cs="宋体"/>
          <w:color w:val="auto"/>
          <w:sz w:val="24"/>
          <w:szCs w:val="24"/>
          <w:highlight w:val="none"/>
          <w:lang w:val="en-US" w:eastAsia="zh-CN"/>
        </w:rPr>
        <w:t xml:space="preserve">主管部门</w:t>
      </w:r>
      <w:r>
        <w:rPr>
          <w:rFonts w:hint="eastAsia" w:ascii="宋体" w:hAnsi="宋体" w:eastAsia="宋体" w:cs="宋体"/>
          <w:color w:val="auto"/>
          <w:sz w:val="24"/>
          <w:szCs w:val="24"/>
          <w:highlight w:val="none"/>
        </w:rPr>
        <w:t xml:space="preserve">核发的</w:t>
      </w:r>
      <w:r>
        <w:rPr>
          <w:rFonts w:hint="eastAsia" w:ascii="宋体" w:hAnsi="宋体" w:cs="宋体"/>
          <w:color w:val="auto"/>
          <w:sz w:val="24"/>
          <w:szCs w:val="24"/>
          <w:highlight w:val="none"/>
          <w:lang w:val="en-US" w:eastAsia="zh-CN"/>
        </w:rPr>
        <w:t xml:space="preserve">有效的</w:t>
      </w:r>
      <w:r>
        <w:rPr>
          <w:rFonts w:hint="eastAsia" w:ascii="宋体" w:hAnsi="宋体" w:eastAsia="宋体" w:cs="宋体"/>
          <w:color w:val="auto"/>
          <w:sz w:val="24"/>
          <w:szCs w:val="24"/>
          <w:highlight w:val="none"/>
        </w:rPr>
        <w:t xml:space="preserve">保安服务许可证。</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）项目</w:t>
      </w:r>
      <w:r>
        <w:rPr>
          <w:rFonts w:hint="eastAsia" w:ascii="宋体" w:hAnsi="宋体" w:cs="宋体"/>
          <w:color w:val="auto"/>
          <w:sz w:val="24"/>
          <w:szCs w:val="24"/>
          <w:highlight w:val="none"/>
          <w:lang w:val="en-US" w:eastAsia="zh-CN"/>
        </w:rPr>
        <w:t xml:space="preserve">负责人</w:t>
      </w:r>
      <w:r>
        <w:rPr>
          <w:rFonts w:hint="eastAsia" w:ascii="宋体" w:hAnsi="宋体" w:cs="宋体"/>
          <w:color w:val="auto"/>
          <w:sz w:val="24"/>
          <w:szCs w:val="24"/>
          <w:highlight w:val="none"/>
          <w:lang w:eastAsia="zh-CN"/>
        </w:rPr>
        <w:t xml:space="preserve">和投标委托代理人（</w:t>
      </w:r>
      <w:r>
        <w:rPr>
          <w:rFonts w:hint="eastAsia" w:ascii="宋体" w:hAnsi="宋体" w:cs="宋体"/>
          <w:color w:val="auto"/>
          <w:sz w:val="24"/>
          <w:szCs w:val="24"/>
          <w:highlight w:val="none"/>
          <w:lang w:val="en-US" w:eastAsia="zh-CN"/>
        </w:rPr>
        <w:t xml:space="preserve">可为同一人</w:t>
      </w:r>
      <w:r>
        <w:rPr>
          <w:rFonts w:hint="eastAsia" w:ascii="宋体" w:hAnsi="宋体" w:cs="宋体"/>
          <w:color w:val="auto"/>
          <w:sz w:val="24"/>
          <w:szCs w:val="24"/>
          <w:highlight w:val="none"/>
          <w:lang w:eastAsia="zh-CN"/>
        </w:rPr>
        <w:t xml:space="preserve">）须是本单位职工，</w:t>
      </w:r>
      <w:r>
        <w:rPr>
          <w:rFonts w:hint="eastAsia" w:ascii="宋体" w:hAnsi="宋体" w:cs="宋体"/>
          <w:color w:val="auto"/>
          <w:sz w:val="24"/>
          <w:szCs w:val="24"/>
          <w:highlight w:val="none"/>
          <w:lang w:val="en-US" w:eastAsia="zh-CN"/>
        </w:rPr>
        <w:t xml:space="preserve">投标时须提供自2025年9月至2025年12月内任意</w:t>
      </w:r>
      <w:r>
        <w:rPr>
          <w:rFonts w:hint="eastAsia" w:ascii="宋体" w:hAnsi="宋体" w:cs="宋体"/>
          <w:color w:val="auto"/>
          <w:sz w:val="24"/>
          <w:szCs w:val="24"/>
          <w:highlight w:val="none"/>
          <w:lang w:eastAsia="zh-CN"/>
        </w:rPr>
        <w:t xml:space="preserve">一个月在本单位缴纳养老保险</w:t>
      </w:r>
      <w:r>
        <w:rPr>
          <w:rFonts w:hint="eastAsia" w:ascii="宋体" w:hAnsi="宋体" w:cs="宋体"/>
          <w:color w:val="auto"/>
          <w:sz w:val="24"/>
          <w:szCs w:val="24"/>
          <w:highlight w:val="none"/>
          <w:lang w:val="en-US" w:eastAsia="zh-CN"/>
        </w:rPr>
        <w:t xml:space="preserve">证明</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1.时间：自招标文件公告发布之日起5个工作日。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2.地点：“苏采云”系统内免费下载（供应商必须在苏采云系统中获取采购文件，方能参与政府采购项目）。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4.售价：0元。</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月15</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2.地点：苏采云“不见面”开标大厅。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五、公告期限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2.潜在供应商访问电子招标响应交易平台的网络地址和方法：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2.2潜在投标人访问“苏采云”系统方法：江苏省政府采购网首页－“苏采云”链接。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2.3采购文件（后缀名为“.kedt”）、供应商操作手册及政府采购客户端工具可通过“苏采云”系统相应链接进行下载。</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2.4采购代理机构将数据电文形式的采购文件加载至“苏采云”系统，供潜在供应商下载或者查阅。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如潜在投标人未按上述要求操作，将自行承担所产生的风险。</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3.有关本次招标的事项若存在变动或修改，敬请及时关注在“中国政府采购网”“江苏政府采购网”“盐城市政府采购网”发布的更正公告。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4.本次招标不收取投标保证金，不收取质量保证金。</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1.采购人信息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w:t>
      </w:r>
      <w:r>
        <w:rPr>
          <w:rFonts w:hint="eastAsia" w:ascii="宋体" w:hAnsi="宋体" w:eastAsia="宋体" w:cs="宋体"/>
          <w:color w:val="auto"/>
          <w:sz w:val="24"/>
          <w:szCs w:val="24"/>
          <w:highlight w:val="none"/>
          <w:lang w:eastAsia="zh-CN"/>
        </w:rPr>
        <w:t xml:space="preserve">盐城市</w:t>
      </w:r>
      <w:r>
        <w:rPr>
          <w:rFonts w:hint="eastAsia" w:ascii="宋体" w:hAnsi="宋体" w:cs="宋体"/>
          <w:color w:val="auto"/>
          <w:sz w:val="24"/>
          <w:szCs w:val="24"/>
          <w:highlight w:val="none"/>
          <w:lang w:val="en-US" w:eastAsia="zh-CN"/>
        </w:rPr>
        <w:t xml:space="preserve">妇幼保健院</w:t>
      </w:r>
      <w:r>
        <w:rPr>
          <w:rFonts w:hint="eastAsia" w:ascii="宋体" w:hAnsi="宋体" w:eastAsia="宋体" w:cs="宋体"/>
          <w:color w:val="auto"/>
          <w:sz w:val="24"/>
          <w:szCs w:val="24"/>
          <w:highlight w:val="none"/>
          <w:lang w:eastAsia="zh-CN"/>
        </w:rPr>
        <w:t xml:space="preserve">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址：盐城市</w:t>
      </w:r>
      <w:r>
        <w:rPr>
          <w:rFonts w:hint="eastAsia" w:ascii="宋体" w:hAnsi="宋体" w:cs="宋体"/>
          <w:color w:val="auto"/>
          <w:sz w:val="24"/>
          <w:szCs w:val="24"/>
          <w:highlight w:val="none"/>
          <w:lang w:val="en-US" w:eastAsia="zh-CN"/>
        </w:rPr>
        <w:t xml:space="preserve">世纪大道东路31</w:t>
      </w:r>
      <w:r>
        <w:rPr>
          <w:rFonts w:hint="eastAsia" w:ascii="宋体" w:hAnsi="宋体" w:eastAsia="宋体" w:cs="宋体"/>
          <w:color w:val="auto"/>
          <w:sz w:val="24"/>
          <w:szCs w:val="24"/>
          <w:highlight w:val="none"/>
          <w:lang w:val="en-US" w:eastAsia="zh-CN"/>
        </w:rPr>
        <w:t xml:space="preserve">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王</w:t>
      </w:r>
      <w:r>
        <w:rPr>
          <w:rFonts w:hint="eastAsia" w:ascii="宋体" w:hAnsi="宋体" w:eastAsia="宋体" w:cs="宋体"/>
          <w:color w:val="auto"/>
          <w:sz w:val="24"/>
          <w:szCs w:val="24"/>
          <w:highlight w:val="none"/>
          <w:lang w:val="en-US" w:eastAsia="zh-CN"/>
        </w:rPr>
        <w:t xml:space="preserve">老师</w:t>
      </w:r>
      <w:r/>
    </w:p>
    <w:p>
      <w:pPr>
        <w:ind w:firstLine="480"/>
        <w:jc w:val="left"/>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联系电话：0515-</w:t>
      </w:r>
      <w:r>
        <w:rPr>
          <w:rFonts w:hint="eastAsia" w:ascii="宋体" w:hAnsi="宋体" w:cs="宋体"/>
          <w:color w:val="auto"/>
          <w:sz w:val="24"/>
          <w:szCs w:val="24"/>
          <w:highlight w:val="none"/>
          <w:lang w:val="en-US" w:eastAsia="zh-CN"/>
        </w:rPr>
        <w:t xml:space="preserve">66669339</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称：江苏仁禾中衡工程咨询房地产估价有限公司</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址：盐城市</w:t>
      </w:r>
      <w:r>
        <w:rPr>
          <w:rFonts w:hint="eastAsia" w:ascii="宋体" w:hAnsi="宋体" w:cs="宋体"/>
          <w:color w:val="auto"/>
          <w:sz w:val="24"/>
          <w:szCs w:val="24"/>
          <w:highlight w:val="none"/>
          <w:lang w:val="en-US" w:eastAsia="zh-CN"/>
        </w:rPr>
        <w:t xml:space="preserve">青年西路8号</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胡</w:t>
      </w:r>
      <w:r>
        <w:rPr>
          <w:rFonts w:hint="eastAsia" w:ascii="宋体" w:hAnsi="宋体" w:eastAsia="宋体" w:cs="宋体"/>
          <w:color w:val="auto"/>
          <w:sz w:val="24"/>
          <w:szCs w:val="24"/>
          <w:highlight w:val="none"/>
          <w:lang w:val="en-US" w:eastAsia="zh-CN"/>
        </w:rPr>
        <w:t xml:space="preserve">女士</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0515-69057406</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3.项目联系方式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胡</w:t>
      </w:r>
      <w:r>
        <w:rPr>
          <w:rFonts w:hint="eastAsia" w:ascii="宋体" w:hAnsi="宋体" w:eastAsia="宋体" w:cs="宋体"/>
          <w:color w:val="auto"/>
          <w:sz w:val="24"/>
          <w:szCs w:val="24"/>
          <w:highlight w:val="none"/>
          <w:lang w:val="en-US" w:eastAsia="zh-CN"/>
        </w:rPr>
        <w:t xml:space="preserve">女士</w:t>
      </w:r>
      <w:r/>
    </w:p>
    <w:p>
      <w:pPr>
        <w:ind w:firstLine="480"/>
        <w:jc w:val="left"/>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话：</w:t>
      </w:r>
      <w:r>
        <w:rPr>
          <w:rFonts w:hint="eastAsia" w:ascii="宋体" w:hAnsi="宋体" w:cs="宋体"/>
          <w:color w:val="auto"/>
          <w:sz w:val="24"/>
          <w:szCs w:val="24"/>
          <w:highlight w:val="none"/>
          <w:lang w:val="en-US" w:eastAsia="zh-CN"/>
        </w:rPr>
        <w:t xml:space="preserve">13815581495</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984"/>
        <w:jc w:val="center"/>
        <w:spacing w:beforeAutospacing="0" w:afterAutospacing="0"/>
        <w:rPr>
          <w:rFonts w:hint="eastAsia" w:ascii="黑体" w:hAnsi="黑体" w:eastAsia="黑体" w:cs="黑体"/>
          <w:color w:val="auto"/>
          <w:sz w:val="44"/>
          <w:szCs w:val="44"/>
          <w:highlight w:val="none"/>
        </w:rPr>
        <w:outlineLvl w:val="0"/>
      </w:pPr>
      <w:r/>
      <w:bookmarkStart w:id="1" w:name="_Toc23635"/>
      <w:r>
        <w:rPr>
          <w:rFonts w:hint="eastAsia" w:ascii="黑体" w:hAnsi="黑体" w:eastAsia="黑体" w:cs="黑体"/>
          <w:color w:val="auto"/>
          <w:sz w:val="44"/>
          <w:szCs w:val="44"/>
          <w:highlight w:val="none"/>
        </w:rPr>
        <w:t xml:space="preserve">第二章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投标人须知</w:t>
      </w:r>
      <w:bookmarkEnd w:id="1"/>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1、招标方式</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2、合格的投标人</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3、适用法律</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4、投标费用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在任何情况下均无义务和责任承担这些费用。</w:t>
      </w:r>
      <w:r/>
    </w:p>
    <w:p>
      <w:pPr>
        <w:ind w:firstLine="482"/>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4.2本次采购人</w:t>
      </w:r>
      <w:r>
        <w:rPr>
          <w:rFonts w:hint="eastAsia" w:ascii="宋体" w:hAnsi="宋体" w:cs="宋体"/>
          <w:color w:val="auto"/>
          <w:sz w:val="24"/>
          <w:szCs w:val="24"/>
          <w:highlight w:val="none"/>
          <w:lang w:val="en-US" w:eastAsia="zh-CN"/>
        </w:rPr>
        <w:t xml:space="preserve">和代理机构</w:t>
      </w:r>
      <w:r>
        <w:rPr>
          <w:rFonts w:hint="eastAsia" w:ascii="宋体" w:hAnsi="宋体" w:eastAsia="宋体" w:cs="宋体"/>
          <w:color w:val="auto"/>
          <w:sz w:val="24"/>
          <w:szCs w:val="24"/>
          <w:highlight w:val="none"/>
        </w:rPr>
        <w:t xml:space="preserve">不收取标书工本费。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5、招标文件的约束力</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6、招标文件构成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6.1招标文件由以下部分组成：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联系解决。</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7、招标文件的澄清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8、招标文件的修改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可以对招标文件进行修改。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8.3招标文件的修改将在“中国政府采购网”、“江苏政府采购网”、“盐城市政府采购网”公布，补充文件将作为招标文件的组成部分，并对供应商具有约束力。</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三、投标文件的编制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9、投标文件的语言及度量衡单位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10、投标文件构成</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11、证明投标人及投标标的符合招标文件规定的文件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分项报价表，包含（不限于）安保人员工资、社保费、公积金、福利费、体检费、高温补助费、不可预见费（应充分考虑所有风险、责任等）、法定税费、及公众责任保险费、意外伤害险和合理利润以及法定假日和双休日及晚间值班等一切加班费用外，还应包括：管理、劳务、培训、风险、税金及政策性文件规定等各项应有费用，以及为完成招标文件规定的安保服务工作所涉及到的一切相关费用。除合同约定外，采购人不再增加任何费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12.4</w:t>
      </w:r>
      <w:r>
        <w:rPr>
          <w:rFonts w:hint="eastAsia" w:ascii="宋体" w:hAnsi="宋体" w:eastAsia="宋体" w:cs="宋体"/>
          <w:color w:val="auto"/>
          <w:sz w:val="24"/>
          <w:szCs w:val="24"/>
          <w:highlight w:val="none"/>
        </w:rPr>
        <w:t xml:space="preserve">所有人员的随身装备和相关装备（含通讯、保安用器械等）等由投标人购置并承担费用，但需甲方认可。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12.5</w:t>
      </w:r>
      <w:r>
        <w:rPr>
          <w:rFonts w:hint="eastAsia" w:ascii="宋体" w:hAnsi="宋体" w:eastAsia="宋体" w:cs="宋体"/>
          <w:color w:val="auto"/>
          <w:sz w:val="24"/>
          <w:szCs w:val="24"/>
          <w:highlight w:val="none"/>
        </w:rPr>
        <w:t xml:space="preserve">各投标人自行根据招标人提供的服务内容、招标文件及答疑文件等资料要求，并根据市场行情、结合自身公司实力、管理水平等因素，按要求进行报价。</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zh-CN"/>
        </w:rPr>
        <w:t xml:space="preserve">）所有人员工资不低于本市最低工资标准2260元/人/每月，所有人员必须足额缴纳社保费用，社保（企业部分）不得低于</w:t>
      </w:r>
      <w:r>
        <w:rPr>
          <w:rFonts w:hint="eastAsia" w:ascii="宋体" w:hAnsi="宋体" w:cs="宋体"/>
          <w:b/>
          <w:bCs/>
          <w:color w:val="auto"/>
          <w:sz w:val="24"/>
          <w:szCs w:val="24"/>
          <w:highlight w:val="none"/>
          <w:lang w:val="en-US" w:eastAsia="zh-CN"/>
        </w:rPr>
        <w:t xml:space="preserve">1292.47</w:t>
      </w:r>
      <w:r>
        <w:rPr>
          <w:rFonts w:hint="eastAsia" w:ascii="宋体" w:hAnsi="宋体" w:eastAsia="宋体" w:cs="宋体"/>
          <w:b/>
          <w:bCs/>
          <w:color w:val="auto"/>
          <w:sz w:val="24"/>
          <w:szCs w:val="24"/>
          <w:highlight w:val="none"/>
          <w:lang w:val="zh-CN"/>
        </w:rPr>
        <w:t xml:space="preserve">元/人/每月，住房公积金不得低于</w:t>
      </w:r>
      <w:r>
        <w:rPr>
          <w:rFonts w:hint="default" w:ascii="宋体" w:hAnsi="宋体" w:cs="宋体"/>
          <w:b/>
          <w:bCs/>
          <w:color w:val="auto"/>
          <w:sz w:val="24"/>
          <w:szCs w:val="24"/>
          <w:highlight w:val="none"/>
          <w:lang w:val="en-US" w:eastAsia="zh-CN"/>
        </w:rPr>
        <w:t xml:space="preserve">114</w:t>
      </w:r>
      <w:r>
        <w:rPr>
          <w:rFonts w:hint="eastAsia" w:ascii="宋体" w:hAnsi="宋体" w:eastAsia="宋体" w:cs="宋体"/>
          <w:b/>
          <w:bCs/>
          <w:color w:val="auto"/>
          <w:sz w:val="24"/>
          <w:szCs w:val="24"/>
          <w:highlight w:val="none"/>
          <w:lang w:val="zh-CN"/>
        </w:rPr>
        <w:t xml:space="preserve">元/人/每月，法定节假日加班费不得低于</w:t>
      </w:r>
      <w:r>
        <w:rPr>
          <w:rFonts w:hint="eastAsia" w:ascii="宋体" w:hAnsi="宋体" w:eastAsia="宋体" w:cs="宋体"/>
          <w:b/>
          <w:bCs/>
          <w:color w:val="auto"/>
          <w:sz w:val="24"/>
          <w:szCs w:val="24"/>
          <w:highlight w:val="none"/>
        </w:rPr>
        <w:t xml:space="preserve">4052.41</w:t>
      </w:r>
      <w:r>
        <w:rPr>
          <w:rFonts w:hint="eastAsia" w:ascii="宋体" w:hAnsi="宋体" w:eastAsia="宋体" w:cs="宋体"/>
          <w:b/>
          <w:bCs/>
          <w:color w:val="auto"/>
          <w:sz w:val="24"/>
          <w:szCs w:val="24"/>
          <w:highlight w:val="none"/>
          <w:lang w:val="zh-CN"/>
        </w:rPr>
        <w:t xml:space="preserve">元/人/每年，按</w:t>
      </w:r>
      <w:r>
        <w:rPr>
          <w:rFonts w:hint="eastAsia" w:ascii="宋体" w:hAnsi="宋体" w:eastAsia="宋体" w:cs="宋体"/>
          <w:b/>
          <w:bCs/>
          <w:color w:val="auto"/>
          <w:sz w:val="24"/>
          <w:szCs w:val="24"/>
          <w:highlight w:val="none"/>
        </w:rPr>
        <w:t xml:space="preserve">总</w:t>
      </w:r>
      <w:r>
        <w:rPr>
          <w:rFonts w:hint="eastAsia" w:ascii="宋体" w:hAnsi="宋体" w:eastAsia="宋体" w:cs="宋体"/>
          <w:b/>
          <w:bCs/>
          <w:color w:val="auto"/>
          <w:sz w:val="24"/>
          <w:szCs w:val="24"/>
          <w:highlight w:val="none"/>
          <w:lang w:val="zh-CN"/>
        </w:rPr>
        <w:t xml:space="preserve">人数</w:t>
      </w:r>
      <w:r>
        <w:rPr>
          <w:rFonts w:hint="eastAsia" w:ascii="宋体" w:hAnsi="宋体" w:eastAsia="宋体" w:cs="宋体"/>
          <w:b/>
          <w:bCs/>
          <w:color w:val="auto"/>
          <w:sz w:val="24"/>
          <w:szCs w:val="24"/>
          <w:highlight w:val="none"/>
        </w:rPr>
        <w:t xml:space="preserve">的</w:t>
      </w:r>
      <w:r>
        <w:rPr>
          <w:rFonts w:hint="eastAsia" w:ascii="宋体" w:hAnsi="宋体" w:eastAsia="宋体" w:cs="宋体"/>
          <w:b/>
          <w:bCs/>
          <w:color w:val="auto"/>
          <w:sz w:val="24"/>
          <w:szCs w:val="24"/>
          <w:highlight w:val="none"/>
          <w:lang w:val="zh-CN"/>
        </w:rPr>
        <w:t xml:space="preserve">70%</w:t>
      </w:r>
      <w:r>
        <w:rPr>
          <w:rFonts w:hint="default" w:ascii="宋体" w:hAnsi="宋体" w:cs="宋体"/>
          <w:b/>
          <w:bCs/>
          <w:color w:val="auto"/>
          <w:sz w:val="24"/>
          <w:szCs w:val="24"/>
          <w:highlight w:val="none"/>
          <w:lang w:val="en-US"/>
        </w:rPr>
        <w:t xml:space="preserve">(</w:t>
      </w:r>
      <w:r>
        <w:rPr>
          <w:rFonts w:hint="eastAsia" w:ascii="宋体" w:hAnsi="宋体" w:cs="宋体"/>
          <w:b/>
          <w:bCs/>
          <w:color w:val="auto"/>
          <w:sz w:val="24"/>
          <w:szCs w:val="24"/>
          <w:highlight w:val="none"/>
          <w:lang w:val="en-US" w:eastAsia="zh-CN"/>
        </w:rPr>
        <w:t xml:space="preserve">即：25人</w:t>
      </w:r>
      <w:r>
        <w:rPr>
          <w:rFonts w:hint="default" w:ascii="宋体" w:hAnsi="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val="zh-CN"/>
        </w:rPr>
        <w:t xml:space="preserve">计算加班，税金费率不得低于6.72%。</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本项目综合管理费包括办公、服装及装备费、体检费，具体包含服装费、培训费、耗材、文具、电脑、打印机、用具、器具、工具及耗材费、不可预见费等一切招标文件中要求报价时考虑的费用，投标人自行报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投标人所提供人员的费用</w:t>
      </w:r>
      <w:r>
        <w:rPr>
          <w:rFonts w:hint="eastAsia" w:ascii="宋体" w:hAnsi="宋体" w:eastAsia="宋体" w:cs="宋体"/>
          <w:b/>
          <w:bCs/>
          <w:color w:val="auto"/>
          <w:sz w:val="24"/>
          <w:szCs w:val="24"/>
          <w:highlight w:val="none"/>
        </w:rPr>
        <w:t xml:space="preserve">按</w:t>
      </w:r>
      <w:r>
        <w:rPr>
          <w:rFonts w:hint="eastAsia" w:ascii="宋体" w:hAnsi="宋体" w:eastAsia="宋体" w:cs="宋体"/>
          <w:b/>
          <w:bCs/>
          <w:color w:val="auto"/>
          <w:sz w:val="24"/>
          <w:szCs w:val="24"/>
          <w:highlight w:val="none"/>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投标人根据招标内容的要求准确报价，一经报出，不得更改。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投标报价的单位为人民币(元)年。如果未能按合同、招标投标文件履约的，终止合同，履约保证金不予退还，并不支付服务期间的服务费用。采购人有权终止合同的履行，受托单位应承担相应的完全责任，包括赔偿因此而给采购人及第三人带来的相应损失。合同期满并完成与后续</w:t>
      </w:r>
      <w:r>
        <w:rPr>
          <w:rFonts w:hint="eastAsia" w:ascii="宋体" w:hAnsi="宋体" w:cs="宋体"/>
          <w:color w:val="auto"/>
          <w:sz w:val="24"/>
          <w:szCs w:val="24"/>
          <w:highlight w:val="none"/>
          <w:lang w:val="en-US" w:eastAsia="zh-CN"/>
        </w:rPr>
        <w:t xml:space="preserve">保安</w:t>
      </w:r>
      <w:r>
        <w:rPr>
          <w:rFonts w:hint="eastAsia" w:ascii="宋体" w:hAnsi="宋体" w:eastAsia="宋体" w:cs="宋体"/>
          <w:color w:val="auto"/>
          <w:sz w:val="24"/>
          <w:szCs w:val="24"/>
          <w:highlight w:val="none"/>
          <w:lang w:val="zh-CN"/>
        </w:rPr>
        <w:t xml:space="preserve">服务企业的衔接后，方可退出，经采购人验收合格，退出本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zh-CN"/>
        </w:rPr>
        <w:t xml:space="preserve">管理</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lang w:val="zh-CN"/>
        </w:rPr>
        <w:t xml:space="preserve">时必须向采购人移交全套档案等资料，同时退还履约保证金。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对于超出招标文件的其他临时性服务项目，由甲乙双方协商解决。</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13、技术要求响应及偏离表、商务要求响应及偏离表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14、投标函和开标一览表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15、投标有效期</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u w:val="single"/>
        </w:rPr>
        <w:t xml:space="preserve">九十（90）天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16、投标有效期的延长</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17、投标文件的递交</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17.1电子投标文件的递交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18、投标截止时间</w:t>
      </w:r>
      <w:r/>
    </w:p>
    <w:p>
      <w:pPr>
        <w:ind w:firstLine="480"/>
        <w:jc w:val="left"/>
        <w:keepLines w:val="0"/>
        <w:keepNext w:val="0"/>
        <w:pageBreakBefore w:val="0"/>
        <w:spacing w:line="520" w:lineRule="exact"/>
        <w:widowControl w:val="off"/>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19、投标文件的拒收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20、投标文件的撤回和修改</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20.1投标文件的撤回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20.1.1电子投标文件的撤回</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20.2投标文件的修改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21、开标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22、评标委员会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23、评标过程的保密与公正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24、投标文件的澄清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投标人的澄清、说明或者补正不得超出投标文件的范围或者改变投标文件的实质性内容。评标委员会并非对每个投标人都做澄清要求。</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24.3接到评委会澄清、说明和补正要求的投标人如未按规定做出澄清、说明和补正，其风险由投标人自行承担。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25、对投标文件的初审</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联合体成员存在不良信用记录的，视同联合体存在不良应用记录。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将不再告知未通过资格审查和符合性审查的原因。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及评标委员会联系。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26、无效投标条款和废标条款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26.1无效投标条款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u w:val="single"/>
        </w:rPr>
        <w:t xml:space="preserve">（本招标文件中斜体且有下划线部分为实质性要求和条件）</w:t>
      </w:r>
      <w:r>
        <w:rPr>
          <w:rFonts w:hint="eastAsia" w:ascii="宋体" w:hAnsi="宋体" w:eastAsia="宋体" w:cs="宋体"/>
          <w:i/>
          <w:iCs/>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26.1.10投标人不能证明其报价合理性的，评标委员会应当将其作为无效投标处理。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（一）评审过程中出现下列情形之一的，评标委员会应当启动异常低价投标审查程序：</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1.投标报价低于采购项目预算50%的，即投标报价&lt;采购项目预算×50%；</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3.评标委员会认定的供应商报价过低、有可能影响产品质量或者不能诚信履约的其他情形。</w:t>
      </w:r>
      <w:r/>
    </w:p>
    <w:p>
      <w:pPr>
        <w:ind w:firstLine="480"/>
        <w:jc w:val="left"/>
        <w:keepLines w:val="0"/>
        <w:keepNext w:val="0"/>
        <w:pageBreakBefore w:val="0"/>
        <w:spacing w:line="520" w:lineRule="exact"/>
        <w:widowControl w:val="off"/>
        <w:rPr>
          <w:rFonts w:hint="default" w:ascii="宋体" w:hAnsi="宋体" w:cs="宋体"/>
          <w:color w:val="auto"/>
          <w:sz w:val="24"/>
          <w:szCs w:val="24"/>
          <w:highlight w:val="none"/>
          <w:lang w:val="en-US"/>
        </w:rPr>
      </w:pPr>
      <w:r>
        <w:rPr>
          <w:rFonts w:hint="eastAsia" w:ascii="宋体" w:hAnsi="宋体" w:eastAsia="宋体" w:cs="宋体"/>
          <w:color w:val="auto"/>
          <w:sz w:val="24"/>
          <w:szCs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26.3投标截止时间结束后参加投标的供应商不足三家的处理：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27、确定中标单位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27.1中标候选人的选取原则和数量见招标文件第五章规定。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将在“中国政府采购网”、“江苏政府采购网”、“盐城市政府采购网”发布中标公告，公告期限为1个工作日。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27.5有下列情形之一的，视为投标人串通投标，投标无效：</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28、质疑处理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 w:val="24"/>
          <w:szCs w:val="24"/>
          <w:highlight w:val="none"/>
          <w:lang w:eastAsia="zh-CN"/>
        </w:rPr>
        <w:t xml:space="preserve">代理机构</w:t>
      </w:r>
      <w:r>
        <w:rPr>
          <w:rFonts w:hint="eastAsia" w:ascii="宋体" w:hAnsi="宋体" w:eastAsia="宋体" w:cs="宋体"/>
          <w:b/>
          <w:bCs/>
          <w:color w:val="auto"/>
          <w:sz w:val="24"/>
          <w:szCs w:val="24"/>
          <w:highlight w:val="none"/>
        </w:rPr>
        <w:t xml:space="preserve">提出，由</w:t>
      </w:r>
      <w:r>
        <w:rPr>
          <w:rFonts w:hint="eastAsia" w:ascii="宋体" w:hAnsi="宋体" w:cs="宋体"/>
          <w:b/>
          <w:bCs/>
          <w:color w:val="auto"/>
          <w:sz w:val="24"/>
          <w:szCs w:val="24"/>
          <w:highlight w:val="none"/>
          <w:lang w:eastAsia="zh-CN"/>
        </w:rPr>
        <w:t xml:space="preserve">代理机构</w:t>
      </w:r>
      <w:r>
        <w:rPr>
          <w:rFonts w:hint="eastAsia" w:ascii="宋体" w:hAnsi="宋体" w:eastAsia="宋体" w:cs="宋体"/>
          <w:b/>
          <w:bCs/>
          <w:color w:val="auto"/>
          <w:sz w:val="24"/>
          <w:szCs w:val="24"/>
          <w:highlight w:val="none"/>
        </w:rPr>
        <w:t xml:space="preserve">负责答复。</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及采购人只接收以纸质原件形式送达的质疑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采购人和</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不接受未填写快递运单的快件。质疑接收联系地址：盐城市</w:t>
      </w:r>
      <w:r>
        <w:rPr>
          <w:rFonts w:hint="eastAsia" w:ascii="宋体" w:hAnsi="宋体" w:cs="宋体"/>
          <w:color w:val="auto"/>
          <w:sz w:val="24"/>
          <w:szCs w:val="24"/>
          <w:highlight w:val="none"/>
          <w:lang w:val="en-US" w:eastAsia="zh-CN"/>
        </w:rPr>
        <w:t xml:space="preserve">青年西路8号8楼805</w:t>
      </w:r>
      <w:r>
        <w:rPr>
          <w:rFonts w:hint="eastAsia" w:ascii="宋体" w:hAnsi="宋体" w:eastAsia="宋体" w:cs="宋体"/>
          <w:color w:val="auto"/>
          <w:sz w:val="24"/>
          <w:szCs w:val="24"/>
          <w:highlight w:val="none"/>
        </w:rPr>
        <w:t xml:space="preserve">，联系电话：0515-</w:t>
      </w:r>
      <w:r>
        <w:rPr>
          <w:rFonts w:hint="eastAsia" w:ascii="宋体" w:hAnsi="宋体" w:cs="宋体"/>
          <w:color w:val="auto"/>
          <w:sz w:val="24"/>
          <w:szCs w:val="24"/>
          <w:highlight w:val="none"/>
          <w:lang w:val="en-US" w:eastAsia="zh-CN"/>
        </w:rPr>
        <w:t xml:space="preserve">69057406</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28.5以下情形的质疑不予受理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29、中标通知书</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30.签订合同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31、服务（包含与服务相关的货物）的追加</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32、政府采购政策功能落实</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32.1政府采购线上合同信用融资政策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32.2进口产品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32.3中小企业、监狱企业及残疾人福利性单位</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32.3.1中小企业定义：</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w:t>
      </w:r>
      <w:r>
        <w:rPr>
          <w:rFonts w:hint="eastAsia" w:ascii="宋体" w:hAnsi="宋体" w:eastAsia="宋体" w:cs="宋体"/>
          <w:color w:val="auto"/>
          <w:sz w:val="24"/>
          <w:szCs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32.3.2供应商提供的货物、工程或者服务符合下列情形的，享受中小企业扶持政策：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32.3.2.1在货物采购项目中，货物由中小企业制造，即货物由中小企业生产且使用该中小企业商号或者注册商标；</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32.3.2.2在工程采购项目中，工程由中小企业承建，即工程施工单位为中小企业；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32.3.3在货物采购项目中，供应商提供的货物既有中小企业制造货物，也有大型企业制造货物的，不享受中小企业扶持政策。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32.3.6残疾人福利单位定义：享受政府采购支持政策的残疾人福利性单位应当同时满足以下条件：</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32.3.6.1安置的残疾人占本单位在职职工人数的比例不低于25%（含25%），并且安置的残疾人人数不少于10人（含10人）；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32.3.6.2依法与安置的每位残疾人签订了一年以上（含一年）的劳动合同或服务协议；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32.3.6.6前款所称残疾人是指法定劳动年龄内，持有《中华人民共和国残疾人证》或者《中华人民共和国残疾军人证》</w:t>
      </w:r>
      <w:r>
        <w:rPr>
          <w:rFonts w:ascii="宋体" w:hAnsi="宋体" w:cs="宋体"/>
          <w:color w:val="auto"/>
          <w:sz w:val="24"/>
          <w:highlight w:val="none"/>
        </w:rPr>
        <w:t xml:space="preserve">（1至8级）</w:t>
      </w:r>
      <w:r>
        <w:rPr>
          <w:rFonts w:hint="eastAsia" w:ascii="宋体" w:hAnsi="宋体" w:eastAsia="宋体" w:cs="宋体"/>
          <w:color w:val="auto"/>
          <w:sz w:val="24"/>
          <w:szCs w:val="24"/>
          <w:highlight w:val="none"/>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32.3.7本项目是否专门面向中小企业预留采购份额见第一章《招标公告》。</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32.3.8采购标的对应的中小企业划分标准所属行业见第四章《采购需求》。</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32.3.9小微企业价格评审优惠的政策：见第五章《评标方法和评标标准》。</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32.4政府采购节能产品、环境标志产品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32.5绿色包装</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本项目中涉及商品的包装应按照“财办库〔2020〕123号《关于印发《商品包装政府采购需求标准（试行）》、《快递包装政府采购需求标准（试行）》的通知》”执行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在供货、安装过程中能做到低碳物流、环保节约、提高资源利用率。</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32.6政府采购创新产品</w:t>
      </w:r>
      <w:r/>
    </w:p>
    <w:p>
      <w:pPr>
        <w:ind w:firstLine="478"/>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采购人优先采购各级政府部门公开发布的有效期内的创新产品、创新服务、首台套、首购首用等《目录》的创新产品。</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32.7绿色数据中心政策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32.8履约保证金政策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确需收取履约保证金的，履约保证金的缴纳形式：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rPr>
        <w:t xml:space="preserve">降低履约保证金缴纳比例为</w:t>
      </w:r>
      <w:r>
        <w:rPr>
          <w:rFonts w:hint="eastAsia" w:ascii="宋体" w:hAnsi="宋体" w:eastAsia="宋体" w:cs="宋体"/>
          <w:b/>
          <w:bCs/>
          <w:color w:val="auto"/>
          <w:sz w:val="24"/>
          <w:szCs w:val="24"/>
          <w:highlight w:val="none"/>
          <w:u w:val="single"/>
        </w:rPr>
        <w:t xml:space="preserve">5%</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33</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预付款制度</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本项目落实预付款制度，预付款比例为</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。在签订合同时，中标、成交供应商明确书面表示无需预付款或者主动要求降低预付款比例的，采购人可就预付款比例作相应调整。</w:t>
      </w:r>
      <w:r/>
    </w:p>
    <w:p>
      <w:pPr>
        <w:ind w:firstLine="482"/>
        <w:jc w:val="left"/>
        <w:spacing w:line="500" w:lineRule="exact"/>
        <w:rPr>
          <w:rFonts w:hint="eastAsia" w:ascii="宋体" w:hAnsi="宋体" w:eastAsia="宋体" w:cs="宋体"/>
          <w:b/>
          <w:bCs w:val="0"/>
          <w:color w:val="auto"/>
          <w:sz w:val="24"/>
        </w:rPr>
      </w:pPr>
      <w:r>
        <w:rPr>
          <w:rFonts w:hint="eastAsia" w:ascii="宋体" w:hAnsi="宋体" w:eastAsia="宋体" w:cs="宋体"/>
          <w:b/>
          <w:bCs w:val="0"/>
          <w:color w:val="auto"/>
          <w:sz w:val="24"/>
        </w:rPr>
        <w:t xml:space="preserve">八、其他</w:t>
      </w:r>
      <w:r/>
    </w:p>
    <w:p>
      <w:pPr>
        <w:ind w:firstLine="480"/>
        <w:jc w:val="left"/>
        <w:spacing w:line="500" w:lineRule="exact"/>
        <w:rPr>
          <w:rFonts w:hint="eastAsia" w:ascii="宋体" w:hAnsi="宋体" w:cs="宋体"/>
          <w:b w:val="0"/>
          <w:bCs/>
          <w:color w:val="auto"/>
          <w:sz w:val="24"/>
        </w:rPr>
      </w:pPr>
      <w:r>
        <w:rPr>
          <w:rFonts w:hint="eastAsia" w:ascii="宋体" w:hAnsi="宋体" w:eastAsia="宋体" w:cs="宋体"/>
          <w:b w:val="0"/>
          <w:bCs/>
          <w:color w:val="auto"/>
          <w:sz w:val="24"/>
        </w:rPr>
        <w:t xml:space="preserve">本项目代理机构按项目中标金额的下列比例收取代理服务费，由中标供应商在领取中标通知书前一次性向代理机构付清，中标金额的100万及以下部分费率为0.</w:t>
      </w:r>
      <w:r>
        <w:rPr>
          <w:rFonts w:hint="eastAsia" w:ascii="宋体" w:hAnsi="宋体" w:eastAsia="宋体" w:cs="宋体"/>
          <w:b w:val="0"/>
          <w:bCs/>
          <w:color w:val="auto"/>
          <w:sz w:val="24"/>
          <w:lang w:val="en-US" w:eastAsia="zh-CN"/>
        </w:rPr>
        <w:t xml:space="preserve">675</w:t>
      </w:r>
      <w:r>
        <w:rPr>
          <w:rFonts w:hint="eastAsia" w:ascii="宋体" w:hAnsi="宋体" w:eastAsia="宋体" w:cs="宋体"/>
          <w:b w:val="0"/>
          <w:bCs/>
          <w:color w:val="auto"/>
          <w:sz w:val="24"/>
        </w:rPr>
        <w:t xml:space="preserve">%，100万（以上）至500万（含500万）部分费率为0.</w:t>
      </w:r>
      <w:r>
        <w:rPr>
          <w:rFonts w:hint="eastAsia" w:ascii="宋体" w:hAnsi="宋体" w:eastAsia="宋体" w:cs="宋体"/>
          <w:b w:val="0"/>
          <w:bCs/>
          <w:color w:val="auto"/>
          <w:sz w:val="24"/>
          <w:lang w:val="en-US" w:eastAsia="zh-CN"/>
        </w:rPr>
        <w:t xml:space="preserve">36</w:t>
      </w:r>
      <w:bookmarkStart w:id="19" w:name="_GoBack"/>
      <w:r/>
      <w:bookmarkEnd w:id="19"/>
      <w:r>
        <w:rPr>
          <w:rFonts w:hint="eastAsia" w:ascii="宋体" w:hAnsi="宋体" w:eastAsia="宋体" w:cs="宋体"/>
          <w:b w:val="0"/>
          <w:bCs/>
          <w:color w:val="auto"/>
          <w:sz w:val="24"/>
        </w:rPr>
        <w:t xml:space="preserve">%。上述费用均由中标人考虑到投标报价中，无须单独列项，招标人不另支付上述费用。</w:t>
      </w:r>
      <w:r>
        <w:rPr>
          <w:rFonts w:hint="eastAsia" w:ascii="宋体" w:hAnsi="宋体" w:eastAsia="宋体" w:cs="宋体"/>
          <w:color w:val="auto"/>
          <w:sz w:val="24"/>
          <w:szCs w:val="24"/>
          <w:highlight w:val="none"/>
        </w:rPr>
        <w:br w:type="page" w:clear="all"/>
      </w:r>
      <w:r>
        <w:rPr>
          <w:rFonts w:hint="eastAsia" w:ascii="宋体" w:hAnsi="宋体" w:cs="宋体"/>
          <w:b w:val="0"/>
          <w:bCs/>
          <w:color w:val="auto"/>
          <w:sz w:val="24"/>
        </w:rPr>
      </w:r>
      <w:r/>
    </w:p>
    <w:p>
      <w:pPr>
        <w:ind w:firstLine="480"/>
        <w:jc w:val="center"/>
        <w:spacing w:line="560" w:lineRule="exact"/>
        <w:widowControl/>
        <w:rPr>
          <w:rFonts w:hint="eastAsia" w:ascii="黑体" w:hAnsi="黑体" w:eastAsia="黑体" w:cs="黑体"/>
          <w:b w:val="0"/>
          <w:bCs w:val="0"/>
          <w:color w:val="auto"/>
          <w:sz w:val="44"/>
          <w:szCs w:val="44"/>
          <w:highlight w:val="none"/>
        </w:rPr>
        <w:outlineLvl w:val="0"/>
      </w:pPr>
      <w:r/>
      <w:bookmarkStart w:id="2" w:name="_Toc31242"/>
      <w:r>
        <w:rPr>
          <w:rFonts w:hint="eastAsia" w:ascii="黑体" w:hAnsi="黑体" w:eastAsia="黑体" w:cs="黑体"/>
          <w:b w:val="0"/>
          <w:bCs w:val="0"/>
          <w:color w:val="auto"/>
          <w:sz w:val="44"/>
          <w:szCs w:val="44"/>
          <w:highlight w:val="none"/>
        </w:rPr>
        <w:t xml:space="preserve">第三章</w:t>
      </w:r>
      <w:r>
        <w:rPr>
          <w:rFonts w:hint="eastAsia" w:ascii="黑体" w:hAnsi="黑体" w:eastAsia="黑体" w:cs="黑体"/>
          <w:b w:val="0"/>
          <w:bCs w:val="0"/>
          <w:color w:val="auto"/>
          <w:sz w:val="44"/>
          <w:szCs w:val="44"/>
          <w:highlight w:val="none"/>
          <w:lang w:val="en-US" w:eastAsia="zh-CN"/>
        </w:rPr>
        <w:t xml:space="preserve"> </w:t>
      </w:r>
      <w:r>
        <w:rPr>
          <w:rFonts w:hint="eastAsia" w:ascii="黑体" w:hAnsi="黑体" w:eastAsia="黑体" w:cs="黑体"/>
          <w:b w:val="0"/>
          <w:bCs w:val="0"/>
          <w:color w:val="auto"/>
          <w:sz w:val="44"/>
          <w:szCs w:val="44"/>
          <w:highlight w:val="none"/>
        </w:rPr>
        <w:t xml:space="preserve">合同文本</w:t>
      </w:r>
      <w:bookmarkEnd w:id="2"/>
      <w:r/>
      <w:r/>
    </w:p>
    <w:p>
      <w:pPr>
        <w:pStyle w:val="931"/>
        <w:ind w:firstLine="48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pStyle w:val="931"/>
        <w:ind w:firstLine="48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方正小标宋_GBK" w:eastAsia="方正小标宋_GBK"/>
          <w:color w:val="auto"/>
          <w:sz w:val="72"/>
          <w:szCs w:val="72"/>
          <w:highlight w:val="none"/>
        </w:rPr>
      </w:pPr>
      <w:r>
        <w:rPr>
          <w:rFonts w:hint="eastAsia" w:ascii="方正小标宋_GBK" w:eastAsia="方正小标宋_GBK"/>
          <w:color w:val="auto"/>
          <w:sz w:val="72"/>
          <w:szCs w:val="72"/>
          <w:highlight w:val="none"/>
        </w:rPr>
      </w:r>
      <w:r/>
    </w:p>
    <w:p>
      <w:pPr>
        <w:jc w:val="center"/>
        <w:rPr>
          <w:rFonts w:hint="eastAsia" w:ascii="方正小标宋_GBK" w:eastAsia="方正小标宋_GBK"/>
          <w:color w:val="auto"/>
          <w:sz w:val="72"/>
          <w:szCs w:val="72"/>
          <w:highlight w:val="none"/>
        </w:rPr>
      </w:pPr>
      <w:r>
        <w:rPr>
          <w:rFonts w:hint="eastAsia" w:ascii="方正小标宋_GBK" w:eastAsia="方正小标宋_GBK"/>
          <w:color w:val="auto"/>
          <w:sz w:val="72"/>
          <w:szCs w:val="72"/>
        </w:rPr>
        <w:t xml:space="preserve">采 购 合 同</w:t>
      </w:r>
      <w:r/>
    </w:p>
    <w:p>
      <w:pPr>
        <w:rPr>
          <w:rFonts w:ascii="方正小标宋_GBK" w:eastAsia="方正小标宋_GBK"/>
          <w:color w:val="auto"/>
          <w:sz w:val="32"/>
          <w:szCs w:val="32"/>
        </w:rPr>
      </w:pPr>
      <w:r>
        <w:rPr>
          <w:rFonts w:ascii="方正小标宋_GBK" w:eastAsia="方正小标宋_GBK"/>
          <w:color w:val="auto"/>
          <w:sz w:val="32"/>
          <w:szCs w:val="32"/>
        </w:rPr>
      </w:r>
      <w:r/>
    </w:p>
    <w:p>
      <w:pPr>
        <w:rPr>
          <w:rFonts w:ascii="方正小标宋_GBK" w:eastAsia="方正小标宋_GBK"/>
          <w:color w:val="auto"/>
          <w:sz w:val="32"/>
          <w:szCs w:val="32"/>
        </w:rPr>
      </w:pPr>
      <w:r>
        <w:rPr>
          <w:rFonts w:ascii="方正小标宋_GBK" w:eastAsia="方正小标宋_GBK"/>
          <w:color w:val="auto"/>
          <w:sz w:val="32"/>
          <w:szCs w:val="32"/>
        </w:rPr>
      </w:r>
      <w:r/>
    </w:p>
    <w:p>
      <w:pPr>
        <w:rPr>
          <w:rFonts w:ascii="方正小标宋_GBK" w:eastAsia="方正小标宋_GBK"/>
          <w:color w:val="auto"/>
          <w:sz w:val="32"/>
          <w:szCs w:val="32"/>
        </w:rPr>
      </w:pPr>
      <w:r>
        <w:rPr>
          <w:rFonts w:ascii="方正小标宋_GBK" w:eastAsia="方正小标宋_GBK"/>
          <w:color w:val="auto"/>
          <w:sz w:val="32"/>
          <w:szCs w:val="32"/>
        </w:rPr>
      </w:r>
      <w:r/>
    </w:p>
    <w:p>
      <w:pPr>
        <w:rPr>
          <w:rFonts w:ascii="方正小标宋_GBK" w:eastAsia="方正小标宋_GBK"/>
          <w:color w:val="auto"/>
          <w:sz w:val="32"/>
          <w:szCs w:val="32"/>
        </w:rPr>
      </w:pPr>
      <w:r>
        <w:rPr>
          <w:rFonts w:ascii="方正小标宋_GBK" w:eastAsia="方正小标宋_GBK"/>
          <w:color w:val="auto"/>
          <w:sz w:val="32"/>
          <w:szCs w:val="32"/>
        </w:rPr>
      </w:r>
      <w:r/>
    </w:p>
    <w:p>
      <w:pPr>
        <w:keepLines w:val="0"/>
        <w:keepNext w:val="0"/>
        <w:pageBreakBefore w:val="0"/>
        <w:spacing w:line="360" w:lineRule="auto"/>
        <w:widowControl w:val="off"/>
        <w:rPr>
          <w:rFonts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 xml:space="preserve">合同编号 ：盐妇幼采供中心【202</w:t>
      </w:r>
      <w:r>
        <w:rPr>
          <w:rFonts w:hint="eastAsia" w:ascii="方正小标宋_GBK" w:hAnsi="宋体" w:eastAsia="方正小标宋_GBK" w:cs="宋体"/>
          <w:color w:val="auto"/>
          <w:sz w:val="32"/>
          <w:szCs w:val="32"/>
          <w:lang w:val="en-US" w:eastAsia="zh-CN"/>
        </w:rPr>
        <w:t xml:space="preserve">5</w:t>
      </w:r>
      <w:r>
        <w:rPr>
          <w:rFonts w:hint="eastAsia" w:ascii="方正小标宋_GBK" w:hAnsi="宋体" w:eastAsia="方正小标宋_GBK" w:cs="宋体"/>
          <w:color w:val="auto"/>
          <w:sz w:val="32"/>
          <w:szCs w:val="32"/>
        </w:rPr>
        <w:t xml:space="preserve">】</w:t>
      </w:r>
      <w:r>
        <w:rPr>
          <w:rFonts w:hint="eastAsia" w:ascii="方正小标宋_GBK" w:hAnsi="宋体" w:eastAsia="方正小标宋_GBK" w:cs="宋体"/>
          <w:color w:val="auto"/>
          <w:sz w:val="32"/>
          <w:szCs w:val="32"/>
          <w:lang w:val="en-US" w:eastAsia="zh-CN"/>
        </w:rPr>
        <w:t xml:space="preserve">   </w:t>
      </w:r>
      <w:r>
        <w:rPr>
          <w:rFonts w:hint="eastAsia" w:ascii="方正小标宋_GBK" w:hAnsi="宋体" w:eastAsia="方正小标宋_GBK" w:cs="宋体"/>
          <w:color w:val="auto"/>
          <w:sz w:val="32"/>
          <w:szCs w:val="32"/>
        </w:rPr>
        <w:t xml:space="preserve">号</w:t>
      </w:r>
      <w:r/>
    </w:p>
    <w:p>
      <w:pPr>
        <w:keepLines w:val="0"/>
        <w:keepNext w:val="0"/>
        <w:pageBreakBefore w:val="0"/>
        <w:spacing w:line="360" w:lineRule="auto"/>
        <w:widowControl w:val="off"/>
        <w:rPr>
          <w:rFonts w:hint="default" w:ascii="方正小标宋_GBK" w:hAnsi="宋体" w:eastAsia="方正小标宋_GBK" w:cs="宋体"/>
          <w:color w:val="auto"/>
          <w:sz w:val="32"/>
          <w:szCs w:val="32"/>
          <w:lang w:val="en-US" w:eastAsia="zh-CN"/>
        </w:rPr>
      </w:pPr>
      <w:r>
        <w:rPr>
          <w:rFonts w:hint="eastAsia" w:ascii="方正小标宋_GBK" w:hAnsi="宋体" w:eastAsia="方正小标宋_GBK" w:cs="宋体"/>
          <w:color w:val="auto"/>
          <w:sz w:val="32"/>
          <w:szCs w:val="32"/>
        </w:rPr>
        <w:t xml:space="preserve">项目名称 ：盐城市妇幼保健院</w:t>
      </w:r>
      <w:r>
        <w:rPr>
          <w:rFonts w:hint="eastAsia" w:ascii="方正小标宋_GBK" w:hAnsi="宋体" w:eastAsia="方正小标宋_GBK" w:cs="宋体"/>
          <w:color w:val="auto"/>
          <w:sz w:val="32"/>
          <w:szCs w:val="32"/>
          <w:lang w:val="en-US" w:eastAsia="zh-CN"/>
        </w:rPr>
        <w:t xml:space="preserve">保安服务</w:t>
      </w:r>
      <w:r/>
    </w:p>
    <w:p>
      <w:pPr>
        <w:keepLines w:val="0"/>
        <w:keepNext w:val="0"/>
        <w:pageBreakBefore w:val="0"/>
        <w:spacing w:line="360" w:lineRule="auto"/>
        <w:widowControl w:val="off"/>
        <w:rPr>
          <w:rFonts w:hint="eastAsia"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 xml:space="preserve">项目编号 ：</w:t>
      </w:r>
      <w:r/>
    </w:p>
    <w:p>
      <w:pPr>
        <w:keepLines w:val="0"/>
        <w:keepNext w:val="0"/>
        <w:pageBreakBefore w:val="0"/>
        <w:spacing w:line="360" w:lineRule="auto"/>
        <w:widowControl w:val="off"/>
        <w:rPr>
          <w:rFonts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 xml:space="preserve">甲    方：盐城市妇幼保健院</w:t>
      </w:r>
      <w:r/>
    </w:p>
    <w:p>
      <w:pPr>
        <w:keepLines w:val="0"/>
        <w:keepNext w:val="0"/>
        <w:pageBreakBefore w:val="0"/>
        <w:spacing w:line="360" w:lineRule="auto"/>
        <w:widowControl w:val="off"/>
        <w:rPr>
          <w:rFonts w:ascii="方正小标宋_GBK" w:hAnsi="宋体" w:eastAsia="方正小标宋_GBK" w:cs="宋体"/>
          <w:color w:val="auto"/>
          <w:sz w:val="32"/>
          <w:szCs w:val="32"/>
        </w:rPr>
      </w:pPr>
      <w:r>
        <w:rPr>
          <w:rFonts w:ascii="方正小标宋_GBK" w:hAnsi="宋体" w:eastAsia="方正小标宋_GBK" w:cs="宋体"/>
          <w:color w:val="auto"/>
          <w:sz w:val="32"/>
          <w:szCs w:val="32"/>
        </w:rPr>
        <w:t xml:space="preserve">甲方地址</w:t>
      </w:r>
      <w:r>
        <w:rPr>
          <w:rFonts w:hint="eastAsia" w:ascii="方正小标宋_GBK" w:hAnsi="宋体" w:eastAsia="方正小标宋_GBK" w:cs="宋体"/>
          <w:color w:val="auto"/>
          <w:sz w:val="32"/>
          <w:szCs w:val="32"/>
        </w:rPr>
        <w:t xml:space="preserve">：盐城市世纪大道东路31号</w:t>
      </w:r>
      <w:r/>
    </w:p>
    <w:p>
      <w:pPr>
        <w:keepLines w:val="0"/>
        <w:keepNext w:val="0"/>
        <w:pageBreakBefore w:val="0"/>
        <w:spacing w:line="360" w:lineRule="auto"/>
        <w:widowControl w:val="off"/>
        <w:rPr>
          <w:rFonts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 xml:space="preserve">乙    方：</w:t>
      </w:r>
      <w:r/>
    </w:p>
    <w:p>
      <w:pPr>
        <w:keepLines w:val="0"/>
        <w:keepNext w:val="0"/>
        <w:pageBreakBefore w:val="0"/>
        <w:spacing w:line="360" w:lineRule="auto"/>
        <w:widowControl w:val="off"/>
        <w:rPr>
          <w:rFonts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 xml:space="preserve">乙方地址：</w:t>
      </w:r>
      <w:r/>
    </w:p>
    <w:p>
      <w:pPr>
        <w:keepLines w:val="0"/>
        <w:keepNext w:val="0"/>
        <w:pageBreakBefore w:val="0"/>
        <w:spacing w:line="360" w:lineRule="auto"/>
        <w:widowControl w:val="off"/>
        <w:rPr>
          <w:rFonts w:ascii="方正小标宋_GBK" w:hAnsi="宋体" w:eastAsia="方正小标宋_GBK" w:cs="宋体"/>
          <w:color w:val="auto"/>
          <w:sz w:val="32"/>
          <w:szCs w:val="32"/>
        </w:rPr>
      </w:pPr>
      <w:r>
        <w:rPr>
          <w:rFonts w:hint="eastAsia" w:ascii="方正小标宋_GBK" w:hAnsi="宋体" w:eastAsia="方正小标宋_GBK" w:cs="宋体"/>
          <w:color w:val="auto"/>
          <w:sz w:val="32"/>
          <w:szCs w:val="32"/>
        </w:rPr>
        <w:t xml:space="preserve">签订日期 ：        年     月     日</w:t>
      </w:r>
      <w:r/>
    </w:p>
    <w:p>
      <w:pPr>
        <w:rPr>
          <w:rFonts w:ascii="方正小标宋_GBK" w:eastAsia="方正小标宋_GBK"/>
          <w:color w:val="auto"/>
          <w:sz w:val="32"/>
          <w:szCs w:val="32"/>
        </w:rPr>
      </w:pPr>
      <w:r>
        <w:rPr>
          <w:rFonts w:ascii="方正小标宋_GBK" w:eastAsia="方正小标宋_GBK"/>
          <w:color w:val="auto"/>
          <w:sz w:val="32"/>
          <w:szCs w:val="32"/>
        </w:rPr>
      </w:r>
      <w:r/>
    </w:p>
    <w:p>
      <w:pPr>
        <w:rPr>
          <w:rFonts w:ascii="方正小标宋_GBK" w:eastAsia="方正小标宋_GBK"/>
          <w:color w:val="auto"/>
          <w:sz w:val="32"/>
          <w:szCs w:val="32"/>
        </w:rPr>
      </w:pPr>
      <w:r>
        <w:rPr>
          <w:rFonts w:ascii="方正小标宋_GBK" w:eastAsia="方正小标宋_GBK"/>
          <w:color w:val="auto"/>
          <w:sz w:val="32"/>
          <w:szCs w:val="32"/>
        </w:rPr>
      </w:r>
      <w:r/>
    </w:p>
    <w:p>
      <w:pPr>
        <w:rPr>
          <w:rFonts w:ascii="方正小标宋_GBK" w:eastAsia="方正小标宋_GBK"/>
          <w:color w:val="auto"/>
          <w:sz w:val="32"/>
          <w:szCs w:val="32"/>
        </w:rPr>
      </w:pPr>
      <w:r>
        <w:rPr>
          <w:rFonts w:ascii="方正小标宋_GBK" w:eastAsia="方正小标宋_GBK"/>
          <w:color w:val="auto"/>
          <w:sz w:val="32"/>
          <w:szCs w:val="32"/>
        </w:rPr>
      </w:r>
      <w:r/>
    </w:p>
    <w:p>
      <w:pPr>
        <w:rPr>
          <w:rFonts w:ascii="方正小标宋_GBK" w:eastAsia="方正小标宋_GBK"/>
          <w:color w:val="auto"/>
          <w:sz w:val="32"/>
          <w:szCs w:val="32"/>
        </w:rPr>
      </w:pPr>
      <w:r>
        <w:rPr>
          <w:rFonts w:ascii="方正小标宋_GBK" w:eastAsia="方正小标宋_GBK"/>
          <w:color w:val="auto"/>
          <w:sz w:val="32"/>
          <w:szCs w:val="32"/>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根据《中华人民共和国民法典》、《中华人民共和国政府采购法》等法律法规的规定，甲、乙双方根据</w:t>
      </w:r>
      <w:r>
        <w:rPr>
          <w:rFonts w:hint="eastAsia" w:ascii="宋体" w:hAnsi="宋体" w:eastAsia="宋体" w:cs="宋体"/>
          <w:color w:val="auto"/>
          <w:sz w:val="24"/>
          <w:szCs w:val="24"/>
          <w:u w:val="single"/>
        </w:rPr>
        <w:t xml:space="preserve">盐城市妇幼保健院保安服务</w:t>
      </w:r>
      <w:r>
        <w:rPr>
          <w:rFonts w:hint="eastAsia" w:ascii="宋体" w:hAnsi="宋体" w:eastAsia="宋体" w:cs="宋体"/>
          <w:color w:val="auto"/>
          <w:sz w:val="24"/>
          <w:szCs w:val="24"/>
        </w:rPr>
        <w:t xml:space="preserve">项目的采购结果，签订本合同。</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一、标的物内容</w:t>
      </w:r>
      <w:r/>
    </w:p>
    <w:tbl>
      <w:tblPr>
        <w:tblStyle w:val="769"/>
        <w:tblW w:w="9458" w:type="dxa"/>
        <w:jc w:val="center"/>
        <w:tblLayout w:type="fixed"/>
        <w:tblCellMar>
          <w:left w:w="0" w:type="dxa"/>
          <w:top w:w="0" w:type="dxa"/>
          <w:right w:w="0" w:type="dxa"/>
          <w:bottom w:w="0" w:type="dxa"/>
        </w:tblCellMar>
        <w:tblLook w:val="04A0" w:firstRow="1" w:lastRow="0" w:firstColumn="1" w:lastColumn="0" w:noHBand="0" w:noVBand="1"/>
      </w:tblPr>
      <w:tblGrid>
        <w:gridCol w:w="2889"/>
        <w:gridCol w:w="2597"/>
        <w:gridCol w:w="1404"/>
        <w:gridCol w:w="2568"/>
      </w:tblGrid>
      <w:tr>
        <w:trPr>
          <w:jc w:val="center"/>
          <w:trHeight w:val="657"/>
        </w:trPr>
        <w:tc>
          <w:tcPr>
            <w:tcBorders>
              <w:top w:val="single" w:color="auto" w:sz="8" w:space="0"/>
              <w:left w:val="single" w:color="auto" w:sz="8" w:space="0"/>
              <w:bottom w:val="single" w:color="auto" w:sz="4" w:space="0"/>
              <w:right w:val="single" w:color="auto" w:sz="8" w:space="0"/>
            </w:tcBorders>
            <w:tcW w:w="2889" w:type="dxa"/>
            <w:vAlign w:val="center"/>
            <w:textDirection w:val="lrTb"/>
            <w:noWrap w:val="false"/>
          </w:tcPr>
          <w:p>
            <w:pPr>
              <w:jc w:val="center"/>
              <w:spacing w:line="3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标的名称</w:t>
            </w:r>
            <w:r/>
          </w:p>
        </w:tc>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2597" w:type="dxa"/>
            <w:vAlign w:val="center"/>
            <w:textDirection w:val="lrTb"/>
            <w:noWrap w:val="false"/>
          </w:tcPr>
          <w:p>
            <w:pPr>
              <w:jc w:val="center"/>
              <w:spacing w:line="3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服务期限（年）</w:t>
            </w:r>
            <w:r/>
          </w:p>
        </w:tc>
        <w:tc>
          <w:tcPr>
            <w:tcBorders>
              <w:top w:val="single" w:color="auto" w:sz="8" w:space="0"/>
              <w:left w:val="none" w:color="000000" w:sz="4" w:space="0"/>
              <w:bottom w:val="single" w:color="auto" w:sz="4" w:space="0"/>
              <w:right w:val="single" w:color="auto" w:sz="8" w:space="0"/>
            </w:tcBorders>
            <w:tcW w:w="1404" w:type="dxa"/>
            <w:vAlign w:val="center"/>
            <w:textDirection w:val="lrTb"/>
            <w:noWrap w:val="false"/>
          </w:tcPr>
          <w:p>
            <w:pPr>
              <w:jc w:val="center"/>
              <w:spacing w:line="3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总价（万元）</w:t>
            </w:r>
            <w:r/>
          </w:p>
        </w:tc>
        <w:tc>
          <w:tcPr>
            <w:tcBorders>
              <w:top w:val="single" w:color="auto" w:sz="8" w:space="0"/>
              <w:left w:val="none" w:color="000000" w:sz="4" w:space="0"/>
              <w:bottom w:val="single" w:color="auto" w:sz="4" w:space="0"/>
              <w:right w:val="single" w:color="auto" w:sz="8" w:space="0"/>
            </w:tcBorders>
            <w:tcW w:w="2568" w:type="dxa"/>
            <w:vAlign w:val="center"/>
            <w:textDirection w:val="lrTb"/>
            <w:noWrap w:val="false"/>
          </w:tcPr>
          <w:p>
            <w:pPr>
              <w:jc w:val="center"/>
              <w:spacing w:line="3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服务内容</w:t>
            </w:r>
            <w:r/>
          </w:p>
        </w:tc>
      </w:tr>
      <w:tr>
        <w:trPr>
          <w:jc w:val="center"/>
          <w:trHeight w:val="576"/>
        </w:trPr>
        <w:tc>
          <w:tcPr>
            <w:tcBorders>
              <w:top w:val="single" w:color="auto" w:sz="4" w:space="0"/>
              <w:left w:val="single" w:color="auto" w:sz="4" w:space="0"/>
              <w:bottom w:val="single" w:color="auto" w:sz="4" w:space="0"/>
              <w:right w:val="single" w:color="auto" w:sz="4" w:space="0"/>
            </w:tcBorders>
            <w:tcW w:w="2889" w:type="dxa"/>
            <w:vAlign w:val="center"/>
            <w:textDirection w:val="lrTb"/>
            <w:noWrap w:val="false"/>
          </w:tcPr>
          <w:p>
            <w:pPr>
              <w:jc w:val="center"/>
              <w:spacing w:line="3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u w:val="none"/>
              </w:rPr>
              <w:t xml:space="preserve">保安服务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97" w:type="dxa"/>
            <w:vAlign w:val="center"/>
            <w:textDirection w:val="lrTb"/>
            <w:noWrap w:val="false"/>
          </w:tcPr>
          <w:p>
            <w:pPr>
              <w:jc w:val="center"/>
              <w:spacing w:line="30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568" w:type="dxa"/>
            <w:vAlign w:val="center"/>
            <w:textDirection w:val="lrTb"/>
            <w:noWrap w:val="false"/>
          </w:tcPr>
          <w:p>
            <w:pPr>
              <w:jc w:val="center"/>
              <w:spacing w:line="3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详见附件“项目需求”</w:t>
            </w:r>
            <w:r/>
          </w:p>
        </w:tc>
      </w:tr>
    </w:tbl>
    <w:p>
      <w:pPr>
        <w:ind w:firstLine="482"/>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bCs w:val="0"/>
          <w:color w:val="auto"/>
          <w:sz w:val="24"/>
          <w:szCs w:val="24"/>
          <w:lang w:val="en-US" w:eastAsia="zh-CN"/>
        </w:rPr>
        <w:t xml:space="preserve">备注：服务开始时间从合同签订之日起计算。服务期1年期满，乙方的保安服务工作考核合格且未发现乙方存在违约行为或服务不到位情况的，可续签1年的保安合同，合同其他条款不变。合同履约期内综合考核不合格的，无条件终止合同。</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二、下列文件为本合同不可分割部分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1、中标通知书；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2、乙方的投标文件及投标过程中所作的承诺、声明、书面澄清等；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3、采购文件；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4、甲乙双方商定的其他文件等。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以上与本合同具有同等法律效力。</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三、价格与支付</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1、合同总金额</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一年服务费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元）。分项价款在乙方“分项报价表”中有明确规定。本项目采用固定</w:t>
      </w:r>
      <w:r>
        <w:rPr>
          <w:rFonts w:hint="eastAsia" w:ascii="宋体" w:hAnsi="宋体" w:cs="宋体"/>
          <w:color w:val="auto"/>
          <w:sz w:val="24"/>
          <w:szCs w:val="24"/>
          <w:lang w:val="en-US" w:eastAsia="zh-CN"/>
        </w:rPr>
        <w:t xml:space="preserve">单价</w:t>
      </w:r>
      <w:r>
        <w:rPr>
          <w:rFonts w:hint="eastAsia" w:ascii="宋体" w:hAnsi="宋体" w:eastAsia="宋体" w:cs="宋体"/>
          <w:color w:val="auto"/>
          <w:sz w:val="24"/>
          <w:szCs w:val="24"/>
        </w:rPr>
        <w:t xml:space="preserve">法，即固定</w:t>
      </w:r>
      <w:r>
        <w:rPr>
          <w:rFonts w:hint="eastAsia" w:ascii="宋体" w:hAnsi="宋体" w:cs="宋体"/>
          <w:color w:val="auto"/>
          <w:sz w:val="24"/>
          <w:szCs w:val="24"/>
          <w:lang w:val="en-US" w:eastAsia="zh-CN"/>
        </w:rPr>
        <w:t xml:space="preserve">单价</w:t>
      </w:r>
      <w:r>
        <w:rPr>
          <w:rFonts w:hint="eastAsia" w:ascii="宋体" w:hAnsi="宋体" w:eastAsia="宋体" w:cs="宋体"/>
          <w:color w:val="auto"/>
          <w:sz w:val="24"/>
          <w:szCs w:val="24"/>
        </w:rPr>
        <w:t xml:space="preserve">包含与本合同有关的全部费用，及合同包含的所有风险、责任等各项应用费用。</w:t>
      </w:r>
      <w:r>
        <w:rPr>
          <w:rFonts w:hint="eastAsia" w:ascii="宋体" w:hAnsi="宋体" w:eastAsia="宋体" w:cs="宋体"/>
          <w:color w:val="auto"/>
          <w:sz w:val="24"/>
        </w:rPr>
        <w:t xml:space="preserve">包含（不限于）安保人员工资、社保费、公积金、福利费、体检费、高温补助费、不可预见费（应充分考虑所有风险、责任等）、法定税费、公众责任保险费、意外伤害险和合理利润以及法定假日和双休日及晚间值班等一切加班费用外，还应包括：管理、劳务、培训、风险、税金及政策性文件规定等各项应有费用，以及为完成招标文件规定的安保服务工作所涉及到的一切相关费用。除</w:t>
      </w:r>
      <w:r>
        <w:rPr>
          <w:rFonts w:hint="eastAsia" w:ascii="宋体" w:hAnsi="宋体" w:eastAsia="宋体" w:cs="宋体"/>
          <w:color w:val="auto"/>
          <w:sz w:val="24"/>
          <w:lang w:val="en-US" w:eastAsia="zh-CN"/>
        </w:rPr>
        <w:t xml:space="preserve">甲方双方另行商定</w:t>
      </w:r>
      <w:r>
        <w:rPr>
          <w:rFonts w:hint="eastAsia" w:ascii="宋体" w:hAnsi="宋体" w:eastAsia="宋体" w:cs="宋体"/>
          <w:color w:val="auto"/>
          <w:sz w:val="24"/>
        </w:rPr>
        <w:t xml:space="preserve">外，</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不再增加任何费用。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szCs w:val="24"/>
        </w:rPr>
        <w:t xml:space="preserve">2、支付方式：</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预付款支付时间：合同签订后，采购人收到预付款发票后10个工作日内</w:t>
      </w:r>
      <w:r>
        <w:rPr>
          <w:rFonts w:hint="eastAsia" w:ascii="宋体" w:hAnsi="宋体" w:cs="宋体"/>
          <w:color w:val="auto"/>
          <w:sz w:val="24"/>
          <w:lang w:val="en-US" w:eastAsia="zh-CN"/>
        </w:rPr>
        <w:t xml:space="preserve">支付款项</w:t>
      </w:r>
      <w:r>
        <w:rPr>
          <w:rFonts w:hint="eastAsia" w:ascii="宋体" w:hAnsi="宋体" w:eastAsia="宋体" w:cs="宋体"/>
          <w:color w:val="auto"/>
          <w:sz w:val="24"/>
        </w:rPr>
        <w:t xml:space="preserve">，预付款支付比例：合同金额的30%。</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每月对</w:t>
      </w:r>
      <w:r>
        <w:rPr>
          <w:rFonts w:hint="eastAsia" w:ascii="宋体" w:hAnsi="宋体" w:eastAsia="宋体" w:cs="宋体"/>
          <w:color w:val="auto"/>
          <w:sz w:val="24"/>
          <w:lang w:val="en-US" w:eastAsia="zh-CN"/>
        </w:rPr>
        <w:t xml:space="preserve">乙方的服务</w:t>
      </w:r>
      <w:r>
        <w:rPr>
          <w:rFonts w:hint="eastAsia" w:ascii="宋体" w:hAnsi="宋体" w:eastAsia="宋体" w:cs="宋体"/>
          <w:color w:val="auto"/>
          <w:sz w:val="24"/>
        </w:rPr>
        <w:t xml:space="preserve">工作综合考核一次，考核合格后支付前一个月费用。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注：按以上付款，无任何银行利息，由乙方事先提供税务发票，一律通过银行结转。</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2"/>
        <w:gridCol w:w="3797"/>
        <w:gridCol w:w="2791"/>
      </w:tblGrid>
      <w:tr>
        <w:trPr>
          <w:trHeight w:val="614"/>
        </w:trPr>
        <w:tc>
          <w:tcPr>
            <w:tcW w:w="20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W w:w="379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w:t>
            </w:r>
            <w:r/>
          </w:p>
        </w:tc>
        <w:tc>
          <w:tcPr>
            <w:tcW w:w="27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tc>
      </w:tr>
      <w:tr>
        <w:trPr>
          <w:trHeight w:val="614"/>
        </w:trPr>
        <w:tc>
          <w:tcPr>
            <w:tcW w:w="20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收款户名</w:t>
            </w:r>
            <w:r/>
          </w:p>
        </w:tc>
        <w:tc>
          <w:tcPr>
            <w:tcW w:w="379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盐城市妇幼保健院</w:t>
            </w:r>
            <w:r/>
          </w:p>
        </w:tc>
        <w:tc>
          <w:tcPr>
            <w:tcW w:w="27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14"/>
        </w:trPr>
        <w:tc>
          <w:tcPr>
            <w:tcW w:w="20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tc>
        <w:tc>
          <w:tcPr>
            <w:tcW w:w="379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中国工商银行盐城新区支行</w:t>
            </w:r>
            <w:r/>
          </w:p>
        </w:tc>
        <w:tc>
          <w:tcPr>
            <w:tcW w:w="27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14"/>
        </w:trPr>
        <w:tc>
          <w:tcPr>
            <w:tcW w:w="20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c>
          <w:tcPr>
            <w:tcW w:w="379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1109664119206688888</w:t>
            </w:r>
            <w:r/>
          </w:p>
        </w:tc>
        <w:tc>
          <w:tcPr>
            <w:tcW w:w="279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2"/>
        <w:keepLines w:val="0"/>
        <w:keepNext w:val="0"/>
        <w:pageBreakBefore w:val="0"/>
        <w:spacing w:line="52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四、服务（交货）时间、地点和方式</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1、合同签订后</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天内开始服务。</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2、服务期限：</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none"/>
        </w:rPr>
        <w:t xml:space="preserve">年 </w:t>
      </w:r>
      <w:r>
        <w:rPr>
          <w:rFonts w:hint="eastAsia" w:ascii="宋体" w:hAnsi="宋体" w:eastAsia="宋体" w:cs="宋体"/>
          <w:color w:val="auto"/>
          <w:sz w:val="24"/>
        </w:rPr>
        <w:t xml:space="preserve">，即自</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日至</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3、服务地点： 盐城市妇幼保健院。</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4、甲方代表联系人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5、乙方代表联系人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（电话：</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2"/>
        <w:keepLines w:val="0"/>
        <w:keepNext w:val="0"/>
        <w:pageBreakBefore w:val="0"/>
        <w:spacing w:line="52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五、履约保证金</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乙方交纳人民币_________元作为本合同的履约保证金。</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（备注：</w:t>
      </w:r>
      <w:r>
        <w:rPr>
          <w:rFonts w:hint="eastAsia" w:ascii="宋体" w:hAnsi="宋体" w:eastAsia="宋体" w:cs="宋体"/>
          <w:color w:val="auto"/>
          <w:sz w:val="24"/>
          <w:lang w:val="en-US" w:eastAsia="zh-CN"/>
        </w:rPr>
        <w:t xml:space="preserve">履约保证金为</w:t>
      </w:r>
      <w:r>
        <w:rPr>
          <w:rFonts w:hint="eastAsia" w:ascii="宋体" w:hAnsi="宋体" w:eastAsia="宋体" w:cs="宋体"/>
          <w:color w:val="auto"/>
          <w:sz w:val="24"/>
        </w:rPr>
        <w:t xml:space="preserve">合同金额的10%，</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应当对AA评级及以上政府采购供应商（需提供信用管理部门备案的第三方信用报告）降低履约保证金缴纳比例</w:t>
      </w:r>
      <w:r>
        <w:rPr>
          <w:rFonts w:hint="eastAsia" w:ascii="宋体" w:hAnsi="宋体" w:eastAsia="宋体" w:cs="宋体"/>
          <w:color w:val="auto"/>
          <w:sz w:val="24"/>
          <w:lang w:val="en-US" w:eastAsia="zh-CN"/>
        </w:rPr>
        <w:t xml:space="preserve">为5%</w:t>
      </w:r>
      <w:r>
        <w:rPr>
          <w:rFonts w:hint="eastAsia" w:ascii="宋体" w:hAnsi="宋体" w:eastAsia="宋体" w:cs="宋体"/>
          <w:color w:val="auto"/>
          <w:sz w:val="24"/>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确需收取履约保证金的，履约保证金的缴纳形式：</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2.1乙方</w:t>
      </w:r>
      <w:r>
        <w:rPr>
          <w:rFonts w:hint="eastAsia" w:ascii="宋体" w:hAnsi="宋体" w:eastAsia="宋体" w:cs="宋体"/>
          <w:color w:val="auto"/>
          <w:sz w:val="24"/>
        </w:rPr>
        <w:t xml:space="preserve">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2.2 如以履约保函（保险）形式缴纳履约保证金，供应商可通过政府采购电子履约保函（保险）平台（www.jsdzbh.com）在线申请履约保函（保险）。</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.3合同履行结束后，甲方应及时退还交纳的履约保证金。</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.4履约保证金的退还：</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.4.1方式：无息退还至</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缴纳履约保证金的账户。如为保函，在到期时自行失效。</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.4.2时间：</w:t>
      </w:r>
      <w:r>
        <w:rPr>
          <w:rFonts w:hint="eastAsia" w:ascii="宋体" w:hAnsi="宋体" w:eastAsia="宋体" w:cs="宋体"/>
          <w:color w:val="auto"/>
          <w:sz w:val="24"/>
          <w:lang w:val="en-US" w:eastAsia="zh-CN"/>
        </w:rPr>
        <w:t xml:space="preserve">如为</w:t>
      </w:r>
      <w:r>
        <w:rPr>
          <w:rFonts w:hint="eastAsia" w:ascii="宋体" w:hAnsi="宋体" w:eastAsia="宋体" w:cs="宋体"/>
          <w:color w:val="auto"/>
          <w:sz w:val="24"/>
        </w:rPr>
        <w:t xml:space="preserve">支票、汇票、本票</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在服务期满</w:t>
      </w:r>
      <w:r>
        <w:rPr>
          <w:rFonts w:hint="eastAsia" w:ascii="宋体" w:hAnsi="宋体" w:eastAsia="宋体" w:cs="宋体"/>
          <w:color w:val="auto"/>
          <w:sz w:val="24"/>
        </w:rPr>
        <w:t xml:space="preserve">后30日内</w:t>
      </w:r>
      <w:r>
        <w:rPr>
          <w:rFonts w:hint="eastAsia" w:ascii="宋体" w:hAnsi="宋体" w:eastAsia="宋体" w:cs="宋体"/>
          <w:color w:val="auto"/>
          <w:sz w:val="24"/>
          <w:lang w:val="en-US" w:eastAsia="zh-CN"/>
        </w:rPr>
        <w:t xml:space="preserve">退还</w:t>
      </w:r>
      <w:r>
        <w:rPr>
          <w:rFonts w:hint="eastAsia" w:ascii="宋体" w:hAnsi="宋体" w:eastAsia="宋体" w:cs="宋体"/>
          <w:color w:val="auto"/>
          <w:sz w:val="24"/>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.4.3条件：按合同要求全部履约完成并经</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验收合格。</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.4.4不予退还情形：</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除不可抗力情况外，</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出现下列情形之一的，其履约保证金，</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将视情节决定不予退还或部分不予退还。</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无正当理由拒绝签订合同的，或者在签订合同时向</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提出附加条件或者更改合同实质性内容要求的；</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不履行与</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订立的合同的；</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所供服务不符合招标文件规定要求的；</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采取欺骗、弄虚作假方式投标的或与其它投标人串通投标的；</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将合同内容转包、违法分包的；</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（6）</w:t>
      </w:r>
      <w:r>
        <w:rPr>
          <w:rFonts w:hint="eastAsia" w:ascii="宋体" w:hAnsi="宋体" w:eastAsia="宋体" w:cs="宋体"/>
          <w:color w:val="auto"/>
          <w:sz w:val="24"/>
          <w:lang w:val="en-US" w:eastAsia="zh-CN"/>
        </w:rPr>
        <w:t xml:space="preserve">乙方</w:t>
      </w:r>
      <w:r>
        <w:rPr>
          <w:rFonts w:hint="eastAsia" w:ascii="宋体" w:hAnsi="宋体" w:eastAsia="宋体" w:cs="宋体"/>
          <w:color w:val="auto"/>
          <w:sz w:val="24"/>
        </w:rPr>
        <w:t xml:space="preserve">故意捏造事实或伪造证明材料，进行虚假恶意投诉或反映的。</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w:t>
      </w:r>
      <w:r>
        <w:rPr>
          <w:rFonts w:hint="eastAsia" w:ascii="宋体" w:hAnsi="宋体" w:eastAsia="宋体" w:cs="宋体"/>
          <w:color w:val="auto"/>
          <w:sz w:val="24"/>
        </w:rPr>
        <w:t xml:space="preserve">.4.5逾期退还的违约责任：</w:t>
      </w:r>
      <w:r>
        <w:rPr>
          <w:rFonts w:hint="eastAsia" w:ascii="宋体" w:hAnsi="宋体" w:eastAsia="宋体" w:cs="宋体"/>
          <w:color w:val="auto"/>
          <w:sz w:val="24"/>
          <w:lang w:val="en-US" w:eastAsia="zh-CN"/>
        </w:rPr>
        <w:t xml:space="preserve">甲方</w:t>
      </w:r>
      <w:r>
        <w:rPr>
          <w:rFonts w:hint="eastAsia" w:ascii="宋体" w:hAnsi="宋体" w:eastAsia="宋体" w:cs="宋体"/>
          <w:color w:val="auto"/>
          <w:sz w:val="24"/>
        </w:rPr>
        <w:t xml:space="preserve">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、服务</w:t>
      </w:r>
      <w:r>
        <w:rPr>
          <w:rFonts w:hint="eastAsia" w:ascii="宋体" w:hAnsi="宋体" w:eastAsia="宋体" w:cs="宋体"/>
          <w:b/>
          <w:color w:val="auto"/>
          <w:sz w:val="24"/>
        </w:rPr>
        <w:t xml:space="preserve">、质量要求</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1、乙方所提供服务、质量应与采购文件规定及投标文件承诺的内容相一致，并符合国家最高质量标准。</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2、整个服务工作不得影响甲方的正常工作流程及秩序。</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3、若有异议，甲方有权委托中国有资质的机构进行质量检测，费用由乙方承担；如发现不符合本协议约定，甲方可视为乙方违约，甲方则有权终止该合同，由此引起的一切损失由乙方承担。</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七</w:t>
      </w:r>
      <w:r>
        <w:rPr>
          <w:rFonts w:hint="eastAsia" w:ascii="宋体" w:hAnsi="宋体" w:eastAsia="宋体" w:cs="宋体"/>
          <w:b/>
          <w:color w:val="auto"/>
          <w:sz w:val="24"/>
        </w:rPr>
        <w:t xml:space="preserve">、所有权转移及保密、安全约定</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1、乙方向甲方交付货物或服务后，在甲方验收合格后或者支付首批货款后，货物或服务所有权归属于甲方。</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2、本合同乙方提供的服务以及提供的全部资料、信息属保密性质，未经双方同意，任何一方不得向第三方泄露。对不属于本方、且受知识产权保护的产品、资料、信息不得用于其他目的。</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乙方保证甲方使用其提供的服务及产品不存在保留所有权买卖、不会产生知识产权侵权等问题，否则责任一律由乙方承担。乙方拥有就项目技术成果完全独立开展市场活动并获益的权力并且保证提供的产品及服务不存在任何安全漏洞。</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八</w:t>
      </w:r>
      <w:r>
        <w:rPr>
          <w:rFonts w:hint="eastAsia" w:ascii="宋体" w:hAnsi="宋体" w:eastAsia="宋体" w:cs="宋体"/>
          <w:b/>
          <w:color w:val="auto"/>
          <w:sz w:val="24"/>
        </w:rPr>
        <w:t xml:space="preserve">、不可抗力</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2、合同一方因不可抗力不能履行合同的，应当及时通知对方，以减轻可能给对方造成的损失，并应当在合理期限内提供证明。</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九</w:t>
      </w:r>
      <w:r>
        <w:rPr>
          <w:rFonts w:hint="eastAsia" w:ascii="宋体" w:hAnsi="宋体" w:eastAsia="宋体" w:cs="宋体"/>
          <w:b/>
          <w:color w:val="auto"/>
          <w:sz w:val="24"/>
        </w:rPr>
        <w:t xml:space="preserve">、违约责任</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1、甲乙双方应当自觉维护国家利益和社会公共利益。合同履行过程中出现危害国家利益和社会公共利益问题的，甲方有权立即终止合同。</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乙方不能提供服务的，或服务不合格从而影响甲方正常使用的，或不能按采购文件规定及投标文件承诺提供伴随服务的，甲方有权解除合同，乙方需退还甲方已付全部款项，并向甲方偿付合同总价款的5%作为违约金，违约金不足以补偿损失的，甲方有权要求乙方补足。</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3、乙方逾期提供服务的，应与甲方协商；若甲方仍有需求的，乙方应立即提供服务，并需按照合同价款每日万分之四的标准向甲方支付逾期违约金，同时承担甲方因此遭受的损失费用。</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十</w:t>
      </w:r>
      <w:r>
        <w:rPr>
          <w:rFonts w:hint="eastAsia" w:ascii="宋体" w:hAnsi="宋体" w:eastAsia="宋体" w:cs="宋体"/>
          <w:b/>
          <w:color w:val="auto"/>
          <w:sz w:val="24"/>
        </w:rPr>
        <w:t xml:space="preserve">、合同的变更和终止</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1、除《政府采购法》第50条第二款规定的情形外，本合同一经签订，甲乙双方不得擅自变更、中止或终止合同。</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2、除发生法律规定的不能预见、不能避免并不能克服的客观情况外，甲乙双方不得放弃或拒绝履行合同。</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3、有权解除合同的一方，应当书面通知对方解除合同，合同在书面通知到达对方时解除。</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rPr>
        <w:t xml:space="preserve">十</w:t>
      </w:r>
      <w:r>
        <w:rPr>
          <w:rFonts w:hint="eastAsia" w:ascii="宋体" w:hAnsi="宋体" w:eastAsia="宋体" w:cs="宋体"/>
          <w:b/>
          <w:color w:val="auto"/>
          <w:sz w:val="24"/>
          <w:lang w:val="en-US" w:eastAsia="zh-CN"/>
        </w:rPr>
        <w:t xml:space="preserve">一</w:t>
      </w:r>
      <w:r>
        <w:rPr>
          <w:rFonts w:hint="eastAsia" w:ascii="宋体" w:hAnsi="宋体" w:eastAsia="宋体" w:cs="宋体"/>
          <w:b/>
          <w:color w:val="auto"/>
          <w:sz w:val="24"/>
        </w:rPr>
        <w:t xml:space="preserve">、合同的转让</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合同的部分和全部都不得转让。</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rPr>
        <w:t xml:space="preserve">十</w:t>
      </w:r>
      <w:r>
        <w:rPr>
          <w:rFonts w:hint="eastAsia" w:ascii="宋体" w:hAnsi="宋体" w:eastAsia="宋体" w:cs="宋体"/>
          <w:b/>
          <w:color w:val="auto"/>
          <w:sz w:val="24"/>
          <w:lang w:val="en-US" w:eastAsia="zh-CN"/>
        </w:rPr>
        <w:t xml:space="preserve">二</w:t>
      </w:r>
      <w:r>
        <w:rPr>
          <w:rFonts w:hint="eastAsia" w:ascii="宋体" w:hAnsi="宋体" w:eastAsia="宋体" w:cs="宋体"/>
          <w:b/>
          <w:color w:val="auto"/>
          <w:sz w:val="24"/>
        </w:rPr>
        <w:t xml:space="preserve">、诚信和廉政</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1、乙方应诚实信用，严格按照采购文件、投标文件、承诺等履行合同。</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p>
    <w:p>
      <w:pPr>
        <w:ind w:firstLine="482"/>
        <w:keepLines w:val="0"/>
        <w:keepNext w:val="0"/>
        <w:pageBreakBefore w:val="0"/>
        <w:spacing w:line="520" w:lineRule="exact"/>
        <w:widowControl w:val="off"/>
        <w:rPr>
          <w:rFonts w:hint="eastAsia" w:ascii="宋体" w:hAnsi="宋体" w:eastAsia="宋体" w:cs="宋体"/>
          <w:b/>
          <w:color w:val="auto"/>
          <w:sz w:val="24"/>
        </w:rPr>
      </w:pPr>
      <w:r>
        <w:rPr>
          <w:rFonts w:hint="eastAsia" w:ascii="宋体" w:hAnsi="宋体" w:eastAsia="宋体" w:cs="宋体"/>
          <w:b/>
          <w:color w:val="auto"/>
          <w:sz w:val="24"/>
        </w:rPr>
        <w:t xml:space="preserve">十</w:t>
      </w:r>
      <w:r>
        <w:rPr>
          <w:rFonts w:hint="eastAsia" w:ascii="宋体" w:hAnsi="宋体" w:eastAsia="宋体" w:cs="宋体"/>
          <w:b/>
          <w:color w:val="auto"/>
          <w:sz w:val="24"/>
          <w:lang w:val="en-US" w:eastAsia="zh-CN"/>
        </w:rPr>
        <w:t xml:space="preserve">三</w:t>
      </w:r>
      <w:r>
        <w:rPr>
          <w:rFonts w:hint="eastAsia" w:ascii="宋体" w:hAnsi="宋体" w:eastAsia="宋体" w:cs="宋体"/>
          <w:b/>
          <w:color w:val="auto"/>
          <w:sz w:val="24"/>
        </w:rPr>
        <w:t xml:space="preserve">、法律责任及其他</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2、乙方承诺提供的各类资质文件、证书等均合法、真实、有效，如有违反，一切后果都由乙方承担。</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3、乙方应独立承担服务中由于乙方原因造成的各类责任，及法规、政策规定由乙方承担的其他责任。</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4、乙方应做好职员的安全生产教育，为职员提供必要的劳动保护条件，职员的一切安全责任均由乙方自己负责。</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5、因履行本合同引起的或与本合同有关的争议，甲、乙双方应首先通过友好协商解决；如果协商不能解决争议，则采取向甲方所在地仲裁机构按其仲裁规则申请仲裁的方式解决争议。在仲裁期间，本合同应继续履行。</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6、本合同一式叁份，甲方执贰份，乙方执壹份，经甲乙双方签字盖章并加盖骑缝章后生效。</w:t>
      </w:r>
      <w:r/>
    </w:p>
    <w:p>
      <w:pPr>
        <w:ind w:firstLine="480"/>
        <w:keepLines w:val="0"/>
        <w:keepNext w:val="0"/>
        <w:pageBreakBefore w:val="0"/>
        <w:spacing w:line="520" w:lineRule="exact"/>
        <w:widowControl w:val="off"/>
        <w:rPr>
          <w:rFonts w:hint="eastAsia" w:ascii="宋体" w:hAnsi="宋体" w:eastAsia="宋体" w:cs="宋体"/>
          <w:color w:val="auto"/>
          <w:sz w:val="24"/>
        </w:rPr>
      </w:pPr>
      <w:r>
        <w:rPr>
          <w:rFonts w:hint="eastAsia" w:ascii="宋体" w:hAnsi="宋体" w:eastAsia="宋体" w:cs="宋体"/>
          <w:color w:val="auto"/>
          <w:sz w:val="24"/>
        </w:rPr>
        <w:t xml:space="preserve">7、未尽事宜按《中华人民共和国民法典》、《中华人民共和国政府采购法》以及其相关法律法规之规定解释执行。</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甲方（采购人）：（盖章）                     乙方（供应商）：（盖章）</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签约代表（签字）：                           签约代表（签字）：</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1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931"/>
        <w:ind w:firstLine="480"/>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3" w:name="_Toc18997"/>
      <w:r>
        <w:rPr>
          <w:rFonts w:hint="eastAsia" w:ascii="宋体" w:hAnsi="宋体" w:eastAsia="宋体" w:cs="宋体"/>
          <w:color w:val="auto"/>
          <w:sz w:val="44"/>
          <w:szCs w:val="44"/>
          <w:highlight w:val="none"/>
        </w:rPr>
        <w:br w:type="page" w:clear="all"/>
      </w:r>
      <w:r/>
    </w:p>
    <w:p>
      <w:pPr>
        <w:pStyle w:val="984"/>
        <w:jc w:val="center"/>
        <w:spacing w:beforeAutospacing="0" w:afterAutospacing="0"/>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第四章</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采购需求</w:t>
      </w:r>
      <w:bookmarkEnd w:id="3"/>
      <w:r/>
      <w:r/>
    </w:p>
    <w:p>
      <w:pPr>
        <w:ind w:firstLine="480"/>
        <w:jc w:val="left"/>
        <w:spacing w:line="520" w:lineRule="exact"/>
        <w:widowControl/>
        <w:rPr>
          <w:rFonts w:ascii="宋体" w:hAnsi="宋体" w:eastAsia="Arial" w:cs="宋体"/>
          <w:b/>
          <w:bCs/>
          <w:color w:val="000000"/>
          <w:sz w:val="24"/>
          <w:szCs w:val="20"/>
          <w:lang w:val="zh-CN"/>
        </w:rPr>
      </w:pPr>
      <w:r/>
      <w:bookmarkStart w:id="4" w:name="_Toc5112"/>
      <w:r/>
      <w:bookmarkStart w:id="5" w:name="_Toc2486"/>
      <w:r/>
      <w:bookmarkStart w:id="6" w:name="_Toc26554093"/>
      <w:r/>
      <w:bookmarkStart w:id="7" w:name="_Toc49090575"/>
      <w:r/>
      <w:bookmarkStart w:id="8" w:name="_Toc17312"/>
      <w:r>
        <w:rPr>
          <w:rFonts w:hint="eastAsia" w:ascii="宋体" w:hAnsi="宋体" w:eastAsia="Arial" w:cs="宋体"/>
          <w:b/>
          <w:bCs/>
          <w:color w:val="000000"/>
          <w:sz w:val="24"/>
          <w:szCs w:val="20"/>
          <w:lang w:val="zh-CN"/>
        </w:rPr>
        <w:t xml:space="preserve">项目属性：服务类项目</w:t>
      </w:r>
      <w:bookmarkEnd w:id="4"/>
      <w:r/>
      <w:bookmarkEnd w:id="5"/>
      <w:r/>
      <w:bookmarkEnd w:id="6"/>
      <w:r/>
      <w:bookmarkEnd w:id="7"/>
      <w:r/>
      <w:bookmarkEnd w:id="8"/>
      <w:r/>
      <w:r/>
    </w:p>
    <w:p>
      <w:pPr>
        <w:numPr>
          <w:ilvl w:val="0"/>
          <w:numId w:val="0"/>
        </w:numPr>
        <w:ind w:firstLine="482"/>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bookmarkStart w:id="9" w:name="_Toc20385"/>
      <w:r/>
      <w:bookmarkStart w:id="10" w:name="_Toc21574"/>
      <w:r/>
      <w:bookmarkStart w:id="11" w:name="_Toc1962"/>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项目概况</w:t>
      </w:r>
      <w:r/>
    </w:p>
    <w:p>
      <w:pPr>
        <w:numPr>
          <w:ilvl w:val="0"/>
          <w:numId w:val="0"/>
        </w:num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盐城市妇幼保健院项目占地面积165亩，建筑面积约123616平方米（其中：其中门诊医技楼4层，62627平方米；病房楼2幢，以连接廊连接，均为11层，合计37558平方米；附房3幢，均为2层，合计4700平方米；地下室18731平方米）。  </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服务范围</w:t>
      </w:r>
      <w:r/>
    </w:p>
    <w:p>
      <w:pPr>
        <w:numPr>
          <w:ilvl w:val="0"/>
          <w:numId w:val="0"/>
        </w:num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盐城市妇幼保健院</w:t>
      </w:r>
      <w:r>
        <w:rPr>
          <w:rFonts w:hint="eastAsia" w:ascii="宋体" w:hAnsi="宋体" w:cs="宋体"/>
          <w:b w:val="0"/>
          <w:bCs w:val="0"/>
          <w:color w:val="auto"/>
          <w:sz w:val="24"/>
          <w:szCs w:val="24"/>
          <w:highlight w:val="none"/>
          <w:lang w:val="en-US" w:eastAsia="zh-CN"/>
        </w:rPr>
        <w:t xml:space="preserve">保安服务，主要服务范围包括：</w:t>
      </w:r>
      <w:r>
        <w:rPr>
          <w:rFonts w:hint="eastAsia" w:ascii="宋体" w:hAnsi="宋体" w:eastAsia="宋体" w:cs="宋体"/>
          <w:b w:val="0"/>
          <w:bCs w:val="0"/>
          <w:color w:val="auto"/>
          <w:sz w:val="24"/>
          <w:szCs w:val="24"/>
          <w:highlight w:val="none"/>
          <w:lang w:val="en-US" w:eastAsia="zh-CN"/>
        </w:rPr>
        <w:t xml:space="preserve">院内公共场所的安全防范和公共秩序管理；院内道路交通安全管理；院内的日常安全防范管理；院内的消防安全管理；院内全部公共建筑物范围内的公共安全防范管理及治安维护工作；院内重大活动期间的公共安全防范与秩序维护等；医院门前“三包”及公共秩序管理。 </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总体要求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（1）采购人对中标供应商派出的安保人员的岗位设置具有决定权</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可对供应商的管理工作提供有效的意见和建议。</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（2）采购人按实际需要，要求中标供应商提供具有特殊专长的安保人员。</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应针对本项目建立服务方案，以及组织架构、人员录用等内容的规章制度。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（4）采购人对重要岗位的设置、人员录用与管理以及重要的管理决策有直接管理权。</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（5）在处理特殊事件和紧急、突发事故时，采购人对中标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派出的安保人员有直接指挥权。因采购人指挥失误产生的经济损失、人员伤亡等后果，由采购人承担相应责任。</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应对中标供应商派出的安保人员进行严格审查，符合保安管理的相关规定，否则所有责任均由中标供应商承担。</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必须严格按照相关劳动法规和保险条例，为安保人员提供完善的劳动权益保障。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在日常管理中要建立交接班、请（休）假等登记等制度，采购人有权查阅记录。如因安保人员的休请假、撤换或辞退造成保安人数的空缺，中标供应商应当日内予以补充。</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（9）采购人有权提出更换不符合使用要求或损害采购人利益的安保人员。采购人提出更换要求后中标供应商应在</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个工作日内予以更换。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（10）若发生劳动争议或出现伤、病及意外死亡情况时，由中标供应商负责，并承担所有责任。</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派出的安保人员在工作期间违规操作致第三方人员受伤和财产损失，以及造成采购人损失的，由中标供应商承担。</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应为安保人员配备保安员服装及统一的保安服务标志。</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（13）本项目不接受联合体投标，中标项目不得转包。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保安服务内容及要求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（一）服务内容</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依照规定与管理要求，结合医院安全保卫工作实际情况，制订切实可行的安全保卫工作整体方案，开展专业化安防业务。</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全面负责门卫管理，负责对外来机动车辆、外来人员、出入医院物品进行检查、登记等门卫值勤工作。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全面负责院区内安全重点部位的防破坏、防事故、防盗、防外来人员私自进入等守护守卫工作。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 全面负责院区的治安巡逻、消防巡查，及时发现各类安全隐患，制止医院不文明现象，发现和制止医院暴力事件，随时准备提供紧急救助。</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驻院各班组负责人及消防控制室值班人员同时还是医院微型消防站成员，不仅需要履行常规的工作职责，还需要承担消防安全管理与应急处置的任务。</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 严格执行医院安全生产、治安保卫、消防安全工作制度，负责做好医院安全生产、治安保卫、消防安全等工作。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 在安全生产保卫科的组织领导下，协同做好医院内部治安综合治理工作，负责做好医院交通管理工作，做好院区内的乱设摊点、乱挂横幅及各类广告等的检查处理。</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 抽调保安力量，做好医院重大会议、活动安全保卫工作。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 配合安全生产保卫科执行各项管理制度，维护医院内就医、交通、生活秩序，执行率l00%；接受安全生产保卫科的监督检查、考核及业务指导。</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 其它属于保安服务范围内的工作以及医院临时交办的任务。</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（二）工作要求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保安员岗位实行每天8小时工作制，按采购人的要求安排。</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保安员须熟悉服务区域的业务管理知识，中标供应商可提前与采购人协商培训事宜。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保安员应接受采购人的监督，在采购人的监督下开展安全防范工作和服务场所的日常管理工作。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 中标供应商应指派专职人员进行工作接洽和日常工作管理，并派员对保安员进行经常性的检查督促及教育培训。</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 保安员必须遵守采购人的各项规章制度。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 中标人应服从采购人的工作安排，包括但不仅限于服务地点和人员数量等。</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 采购人可根据项目实际对相关工作要求进行增减及细化。</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、岗位配置</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（一）安保人员配备一览表</w:t>
      </w:r>
      <w:r/>
    </w:p>
    <w:tbl>
      <w:tblPr>
        <w:tblStyle w:val="795"/>
        <w:tblpPr w:horzAnchor="page" w:tblpX="1717" w:vertAnchor="text" w:tblpY="159" w:leftFromText="180" w:topFromText="0" w:rightFromText="180" w:bottomFromText="0"/>
        <w:tblW w:w="93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875"/>
        <w:gridCol w:w="1214"/>
        <w:gridCol w:w="4313"/>
      </w:tblGrid>
      <w:tr>
        <w:trPr>
          <w:trHeight w:val="90"/>
        </w:trPr>
        <w:tc>
          <w:tcPr>
            <w:tcW w:w="900" w:type="dxa"/>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序号</w:t>
            </w:r>
            <w:r/>
          </w:p>
        </w:tc>
        <w:tc>
          <w:tcPr>
            <w:tcW w:w="2875" w:type="dxa"/>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岗位设置</w:t>
            </w:r>
            <w:r/>
          </w:p>
        </w:tc>
        <w:tc>
          <w:tcPr>
            <w:tcW w:w="1214"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人数</w:t>
            </w:r>
            <w:r/>
          </w:p>
        </w:tc>
        <w:tc>
          <w:tcPr>
            <w:tcW w:w="4313" w:type="dxa"/>
            <w:textDirection w:val="lrTb"/>
            <w:noWrap w:val="false"/>
          </w:tcPr>
          <w:p>
            <w:pPr>
              <w:ind w:firstLine="480"/>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备注</w:t>
            </w:r>
            <w:r/>
          </w:p>
        </w:tc>
      </w:tr>
      <w:tr>
        <w:trPr>
          <w:trHeight w:val="90"/>
        </w:trPr>
        <w:tc>
          <w:tcPr>
            <w:tcW w:w="900"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2875" w:type="dxa"/>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项目经理</w:t>
            </w:r>
            <w:r/>
          </w:p>
        </w:tc>
        <w:tc>
          <w:tcPr>
            <w:tcW w:w="1214"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4313" w:type="dxa"/>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高级保安员证</w:t>
            </w:r>
            <w:r/>
          </w:p>
        </w:tc>
      </w:tr>
      <w:tr>
        <w:trPr>
          <w:trHeight w:val="90"/>
        </w:trPr>
        <w:tc>
          <w:tcPr>
            <w:tcW w:w="900"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W w:w="2875" w:type="dxa"/>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安保负责人</w:t>
            </w:r>
            <w:r/>
          </w:p>
        </w:tc>
        <w:tc>
          <w:tcPr>
            <w:tcW w:w="1214"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4313" w:type="dxa"/>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900"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shd w:val="clear" w:color="auto" w:fill="auto"/>
            <w:tcW w:w="287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消防中心</w:t>
            </w:r>
            <w:r/>
          </w:p>
        </w:tc>
        <w:tc>
          <w:tcPr>
            <w:shd w:val="clear" w:color="auto" w:fill="auto"/>
            <w:tcW w:w="1214"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W w:w="4313" w:type="dxa"/>
            <w:vAlign w:val="center"/>
            <w:textDirection w:val="lrTb"/>
            <w:noWrap w:val="false"/>
          </w:tcPr>
          <w:p>
            <w:pPr>
              <w:jc w:val="left"/>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服务人员须具备</w:t>
            </w:r>
            <w:r>
              <w:rPr>
                <w:rFonts w:hint="eastAsia" w:ascii="宋体" w:hAnsi="宋体" w:eastAsia="宋体" w:cs="宋体"/>
                <w:b w:val="0"/>
                <w:bCs w:val="0"/>
                <w:color w:val="auto"/>
                <w:sz w:val="24"/>
                <w:szCs w:val="24"/>
                <w:highlight w:val="none"/>
                <w:lang w:val="en-US" w:eastAsia="zh-CN"/>
              </w:rPr>
              <w:t xml:space="preserve">消防设施操作员证（监控方向中级）</w:t>
            </w:r>
            <w:r>
              <w:rPr>
                <w:rFonts w:hint="eastAsia" w:ascii="宋体" w:hAnsi="宋体" w:cs="宋体"/>
                <w:b w:val="0"/>
                <w:bCs w:val="0"/>
                <w:color w:val="auto"/>
                <w:sz w:val="24"/>
                <w:szCs w:val="24"/>
                <w:highlight w:val="none"/>
                <w:lang w:val="en-US" w:eastAsia="zh-CN"/>
              </w:rPr>
              <w:t xml:space="preserve">，中标后提供相关证书</w:t>
            </w:r>
            <w:r/>
          </w:p>
        </w:tc>
      </w:tr>
      <w:tr>
        <w:trPr>
          <w:trHeight w:val="90"/>
        </w:trPr>
        <w:tc>
          <w:tcPr>
            <w:tcW w:w="900"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shd w:val="clear" w:color="auto" w:fill="auto"/>
            <w:tcW w:w="2875"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体检中心</w:t>
            </w:r>
            <w:r/>
          </w:p>
        </w:tc>
        <w:tc>
          <w:tcPr>
            <w:shd w:val="clear" w:color="auto" w:fill="auto"/>
            <w:tcW w:w="1214"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W w:w="4313"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c>
      </w:tr>
      <w:tr>
        <w:trPr>
          <w:trHeight w:val="90"/>
        </w:trPr>
        <w:tc>
          <w:tcPr>
            <w:tcW w:w="900"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shd w:val="clear" w:color="auto" w:fill="auto"/>
            <w:tcW w:w="2875" w:type="dxa"/>
            <w:vAlign w:val="top"/>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行政办公区</w:t>
            </w:r>
            <w:r/>
          </w:p>
        </w:tc>
        <w:tc>
          <w:tcPr>
            <w:shd w:val="clear" w:color="auto" w:fill="auto"/>
            <w:tcW w:w="1214"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shd w:val="clear" w:color="auto" w:fill="auto"/>
            <w:tcW w:w="4313"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900"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shd w:val="clear" w:color="auto" w:fill="auto"/>
            <w:tcW w:w="2875" w:type="dxa"/>
            <w:vAlign w:val="top"/>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盐南高新区分院</w:t>
            </w:r>
            <w:r/>
          </w:p>
        </w:tc>
        <w:tc>
          <w:tcPr>
            <w:shd w:val="clear" w:color="auto" w:fill="auto"/>
            <w:tcW w:w="1214"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W w:w="4313"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900"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shd w:val="clear" w:color="auto" w:fill="auto"/>
            <w:tcW w:w="2875" w:type="dxa"/>
            <w:vAlign w:val="top"/>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  班</w:t>
            </w:r>
            <w:r/>
          </w:p>
        </w:tc>
        <w:tc>
          <w:tcPr>
            <w:shd w:val="clear" w:color="auto" w:fill="auto"/>
            <w:tcW w:w="1214"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w:t>
            </w:r>
            <w:r/>
          </w:p>
        </w:tc>
        <w:tc>
          <w:tcPr>
            <w:shd w:val="clear" w:color="auto" w:fill="auto"/>
            <w:tcW w:w="4313"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tcW w:w="900"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shd w:val="clear" w:color="auto" w:fill="auto"/>
            <w:tcW w:w="2875" w:type="dxa"/>
            <w:vAlign w:val="top"/>
            <w:textDirection w:val="lrTb"/>
            <w:noWrap w:val="false"/>
          </w:tcPr>
          <w:p>
            <w:pPr>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常日班</w:t>
            </w:r>
            <w:r/>
          </w:p>
        </w:tc>
        <w:tc>
          <w:tcPr>
            <w:shd w:val="clear" w:color="auto" w:fill="auto"/>
            <w:tcW w:w="1214"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w:t>
            </w:r>
            <w:r/>
          </w:p>
        </w:tc>
        <w:tc>
          <w:tcPr>
            <w:shd w:val="clear" w:color="auto" w:fill="auto"/>
            <w:tcW w:w="4313"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90"/>
        </w:trPr>
        <w:tc>
          <w:tcPr>
            <w:gridSpan w:val="2"/>
            <w:tcW w:w="3775" w:type="dxa"/>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  计</w:t>
            </w:r>
            <w:r/>
          </w:p>
        </w:tc>
        <w:tc>
          <w:tcPr>
            <w:shd w:val="clear" w:color="auto" w:fill="auto"/>
            <w:tcW w:w="1214" w:type="dxa"/>
            <w:vAlign w:val="top"/>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35</w:t>
            </w:r>
            <w:r/>
          </w:p>
        </w:tc>
        <w:tc>
          <w:tcPr>
            <w:shd w:val="clear" w:color="auto" w:fill="auto"/>
            <w:tcW w:w="4313" w:type="dxa"/>
            <w:vAlign w:val="top"/>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bl>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（二）安保工作人员的条件和要求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项目经理、安保负责人要求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（1）项目经理、安保负责人接受</w:t>
      </w:r>
      <w:r>
        <w:rPr>
          <w:rFonts w:hint="eastAsia" w:ascii="宋体" w:hAnsi="宋体" w:cs="宋体"/>
          <w:b w:val="0"/>
          <w:bCs w:val="0"/>
          <w:color w:val="auto"/>
          <w:sz w:val="24"/>
          <w:szCs w:val="24"/>
          <w:highlight w:val="none"/>
          <w:lang w:val="en-US" w:eastAsia="zh-CN"/>
        </w:rPr>
        <w:t xml:space="preserve">采购</w:t>
      </w:r>
      <w:r>
        <w:rPr>
          <w:rFonts w:hint="eastAsia" w:ascii="宋体" w:hAnsi="宋体" w:eastAsia="宋体" w:cs="宋体"/>
          <w:b w:val="0"/>
          <w:bCs w:val="0"/>
          <w:color w:val="auto"/>
          <w:sz w:val="24"/>
          <w:szCs w:val="24"/>
          <w:highlight w:val="none"/>
          <w:lang w:val="en-US" w:eastAsia="zh-CN"/>
        </w:rPr>
        <w:t xml:space="preserve">人和中标人双重领导和管理。</w:t>
      </w:r>
      <w:r/>
    </w:p>
    <w:p>
      <w:pPr>
        <w:ind w:firstLine="480"/>
        <w:jc w:val="left"/>
        <w:keepLines w:val="0"/>
        <w:keepNext w:val="0"/>
        <w:pageBreakBefore w:val="0"/>
        <w:spacing w:line="520" w:lineRule="exact"/>
        <w:widowControl w:val="off"/>
        <w:rPr>
          <w:rFonts w:hint="eastAsia" w:ascii="宋体" w:hAnsi="宋体" w:cs="宋体"/>
          <w:b w:val="0"/>
          <w:bCs w:val="0"/>
          <w:i/>
          <w:iCs/>
          <w:color w:val="auto"/>
          <w:sz w:val="24"/>
          <w:szCs w:val="24"/>
          <w:highlight w:val="none"/>
          <w:lang w:eastAsia="zh-CN"/>
        </w:rPr>
      </w:pPr>
      <w:r>
        <w:rPr>
          <w:rFonts w:hint="eastAsia" w:ascii="宋体" w:hAnsi="宋体" w:eastAsia="宋体" w:cs="宋体"/>
          <w:b w:val="0"/>
          <w:bCs w:val="0"/>
          <w:i/>
          <w:iCs/>
          <w:color w:val="auto"/>
          <w:sz w:val="24"/>
          <w:szCs w:val="24"/>
          <w:highlight w:val="none"/>
          <w:lang w:val="en-US" w:eastAsia="zh-CN"/>
        </w:rPr>
        <w:t xml:space="preserve">（2）</w:t>
      </w:r>
      <w:r>
        <w:rPr>
          <w:rFonts w:hint="eastAsia" w:ascii="宋体" w:hAnsi="宋体" w:eastAsia="宋体" w:cs="宋体"/>
          <w:b w:val="0"/>
          <w:bCs w:val="0"/>
          <w:i/>
          <w:iCs/>
          <w:color w:val="auto"/>
          <w:sz w:val="24"/>
          <w:szCs w:val="24"/>
          <w:highlight w:val="none"/>
        </w:rPr>
        <w:t xml:space="preserve">项目</w:t>
      </w:r>
      <w:r>
        <w:rPr>
          <w:rFonts w:hint="eastAsia" w:ascii="宋体" w:hAnsi="宋体" w:cs="宋体"/>
          <w:b w:val="0"/>
          <w:bCs w:val="0"/>
          <w:i/>
          <w:iCs/>
          <w:color w:val="auto"/>
          <w:sz w:val="24"/>
          <w:szCs w:val="24"/>
          <w:highlight w:val="none"/>
          <w:lang w:val="en-US" w:eastAsia="zh-CN"/>
        </w:rPr>
        <w:t xml:space="preserve">负责人</w:t>
      </w:r>
      <w:r>
        <w:rPr>
          <w:rFonts w:hint="eastAsia" w:ascii="宋体" w:hAnsi="宋体" w:eastAsia="宋体" w:cs="宋体"/>
          <w:b w:val="0"/>
          <w:bCs w:val="0"/>
          <w:i/>
          <w:iCs/>
          <w:color w:val="auto"/>
          <w:sz w:val="24"/>
          <w:szCs w:val="24"/>
          <w:highlight w:val="none"/>
        </w:rPr>
        <w:t xml:space="preserve">须</w:t>
      </w:r>
      <w:r>
        <w:rPr>
          <w:rFonts w:hint="eastAsia" w:ascii="宋体" w:hAnsi="宋体" w:cs="宋体"/>
          <w:b w:val="0"/>
          <w:bCs w:val="0"/>
          <w:i/>
          <w:iCs/>
          <w:color w:val="auto"/>
          <w:sz w:val="24"/>
          <w:szCs w:val="24"/>
          <w:highlight w:val="none"/>
          <w:lang w:val="en-US" w:eastAsia="zh-CN"/>
        </w:rPr>
        <w:t xml:space="preserve">具有</w:t>
      </w:r>
      <w:r>
        <w:rPr>
          <w:rFonts w:hint="eastAsia" w:ascii="宋体" w:hAnsi="宋体" w:eastAsia="宋体" w:cs="宋体"/>
          <w:b w:val="0"/>
          <w:bCs w:val="0"/>
          <w:i/>
          <w:iCs/>
          <w:color w:val="auto"/>
          <w:sz w:val="24"/>
          <w:szCs w:val="24"/>
          <w:highlight w:val="none"/>
        </w:rPr>
        <w:t xml:space="preserve">高级（职业技能三级）保安员职业资格证书</w:t>
      </w:r>
      <w:r>
        <w:rPr>
          <w:rFonts w:hint="eastAsia" w:ascii="宋体" w:hAnsi="宋体" w:cs="宋体"/>
          <w:b w:val="0"/>
          <w:bCs w:val="0"/>
          <w:i/>
          <w:iCs/>
          <w:color w:val="auto"/>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正常工作日驻场开展保安人员管理工作，必须保持24小时通讯畅通，处理与安全工作的相关事务</w:t>
      </w:r>
      <w:r>
        <w:rPr>
          <w:rFonts w:hint="eastAsia" w:ascii="宋体" w:hAnsi="宋体" w:cs="宋体"/>
          <w:b w:val="0"/>
          <w:bCs w:val="0"/>
          <w:color w:val="auto"/>
          <w:sz w:val="24"/>
          <w:szCs w:val="24"/>
          <w:highlight w:val="none"/>
          <w:lang w:val="en-US" w:eastAsia="zh-CN"/>
        </w:rPr>
        <w:t xml:space="preserve">。</w:t>
      </w:r>
      <w:r/>
    </w:p>
    <w:p>
      <w:pPr>
        <w:ind w:firstLine="480"/>
        <w:jc w:val="left"/>
        <w:keepLines w:val="0"/>
        <w:keepNext w:val="0"/>
        <w:pageBreakBefore w:val="0"/>
        <w:spacing w:line="520" w:lineRule="exact"/>
        <w:widowControl w:val="off"/>
        <w:rPr>
          <w:rFonts w:hint="default" w:ascii="宋体" w:hAnsi="宋体" w:eastAsia="宋体" w:cs="宋体"/>
          <w:b w:val="0"/>
          <w:bCs w:val="0"/>
          <w:color w:val="auto"/>
          <w:sz w:val="24"/>
          <w:szCs w:val="24"/>
          <w:highlight w:val="none"/>
          <w:u w:val="none"/>
          <w:lang w:val="en-US" w:eastAsia="zh-CN"/>
        </w:rPr>
      </w:pPr>
      <w:r>
        <w:rPr>
          <w:rFonts w:hint="eastAsia" w:ascii="宋体" w:hAnsi="宋体" w:eastAsia="宋体" w:cs="宋体"/>
          <w:i/>
          <w:color w:val="000000"/>
          <w:sz w:val="24"/>
          <w:szCs w:val="24"/>
          <w:highlight w:val="none"/>
          <w:u w:val="none"/>
          <w:lang w:val="en-US" w:eastAsia="zh-CN"/>
        </w:rPr>
        <w:t xml:space="preserve">以上</w:t>
      </w:r>
      <w:r>
        <w:rPr>
          <w:rFonts w:hint="eastAsia" w:ascii="宋体" w:hAnsi="宋体" w:eastAsia="宋体" w:cs="宋体"/>
          <w:i/>
          <w:color w:val="000000"/>
          <w:sz w:val="24"/>
          <w:szCs w:val="24"/>
          <w:highlight w:val="none"/>
          <w:u w:val="none"/>
        </w:rPr>
        <w:t xml:space="preserve">斜体且有下划线部分为</w:t>
      </w:r>
      <w:r>
        <w:rPr>
          <w:rFonts w:hint="eastAsia" w:ascii="宋体" w:hAnsi="宋体" w:eastAsia="宋体" w:cs="宋体"/>
          <w:i/>
          <w:color w:val="000000"/>
          <w:sz w:val="24"/>
          <w:szCs w:val="24"/>
          <w:highlight w:val="none"/>
          <w:u w:val="none"/>
          <w:lang w:val="en-US" w:eastAsia="zh-CN"/>
        </w:rPr>
        <w:t xml:space="preserve">符合性评审，投标人须按照要求响应，并提供相关证书，否则作无效标书处理。</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保安人员条件和要求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保安人员初中及以上文化，持有初级（职业技能五级）保安员职业资格证书、五官端正，身体健康，无传染病及精神病等重大疾病，无残疾，无明显标记，遵纪守法，品行良好，无违法犯罪记录，55岁以下人员比例不低于80%，男性比例不低于90%。</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（2）保安人员有吃苦耐劳的精神和高度的责任感，受过专门的岗前培训，熟知校方的管理规定，严格履行岗位职责，善于发现各类问题，具备一定的管理经验和处理突发事件能力。</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（3）执勤时不吸烟、吃零食，不袖手、背手、插腰或将手插入口袋。</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执勤时穿着统一保安制服，佩戴统一标志，仪表端庄、大方，衣着整洁；接待时主动、热情、规范；迎送接待时，用语准确，称呼恰当，问候亲切，语气诚恳，耐心细致；使用文明用语，不应使用服务忌语。</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消防控制室值班人员要求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（1）持证上岗：值班人员必须通过消防行业特有工种职业技能鉴定，持有中级（四级）及以上等级的消防设施操作员职业资格证书。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（2）专业知识：值班人员应具备扎实的消防专业知识，熟悉消防设备的工作原理和操作规程，能够熟练操作消防控制室的监控设备和报警系统。</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每班人数：消防控制室值班人员每班不得少于2人，以确保在紧急情况下有足够的人力进行处置，避免因一人操作不当导致的严重后果。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（4）岗位分工：其中一人负责自动消防系统的操作，另一人负责值班时报警部位的核实和紧急情况的处置。</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（5）工作时间：每班工作时间不应大于8小时，以保障值班人员的身心健康和工作效率。</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（6）值班制度：实行每日24小时专人值班制度，确保及时发现并准确处置火灾和故障报警。值班人员应坚守岗位，不得擅离职守。</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（7）实时监控：值班人员应实时监控火灾自动报警系统、消防联动控制系统等设备的运行状态，确保系统正常运行。</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（8）报警处置：及时确认和处理火灾报警信号，按照应急预案进行响应，携带通讯工具尽快到场核实报警情况。</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（9）设备操作与故障排除：熟练掌握消防设备的操作方法，在需要时进行操作；发现设备故障时，及时采取措施进行排除或通知相关人员进行维修。</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 记录工作：做好值班记录，包括系统运行情况、报警处理情况等，确保记录真实、清晰。</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（11）消防巡查：定期进行消防设施的巡查，确保其正常工作。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（12）交接班要求：值班人员应按时上岗，并做好交接班工作。接班人员未到岗前，交班人员不得擅自离岗。交接班时应详细交代设备运行情况和注意事项。</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（13）培训与学习：值班人员应参加消防培训，提高业务水平。掌握火警处置及启动消防设施设备的程序和方法，确保及时发现并准确处理火灾和故障报警。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（14）遵守操作规程：值班人员应严格遵守消防控制室的各项安全操作规程和各项消防安全管理制度。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（15）保密与安全管理：值班人员应保守消防控制室的秘密，不得随意泄露相关信息。同时，应做好消防控制室的安全管理工作，防止无关人员进入。</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 管理要求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1.采购人与派驻保安服务人员不发生任何劳动和雇佣关系，派驻服务人员由中标供应商自行管理。</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就本项目所派驻的全部安保服务人员应专职服务本项目，如遇特殊情况需临时调整，须报请采购人同意，并保证本项目正常运行。</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3.中标</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应当根据服务岗位需要定期对安保员进行法律、保安专业知识和技能培训。安保服务具体操作规程及质量服务应达到公安部颁发的《保安服务操作规程与质量控制》的要求。</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 中标供应商提供四轮电动巡逻车一辆，便于维护院内治安、停车管理及处置突发事件。</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（四）岗位职责</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 1. 出入口守护岗</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（1）负责前门车辆引导停放和人员通往秩序。</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（2）谢绝明显精神病患者、酗酒闹事者、收破烂、乞讨者、推销商品者进入医院。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（3）指挥自行车、电瓶车及其它车辆定点停放。</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（4）禁止在医院正门摆摊设点和进行各种表演义卖，及时制止打架斗殴。</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（5）杜绝危险品进入医院、禁止携带宠物进入医院。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（6）对破坏医院形象和声誉的行为及时果断制止并立即上报。</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2、巡逻特勤岗</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（1）熟悉医院各区域情况，保持高度的警惕性，有高度的责任感，坚守岗位。</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（2）巡察各楼层各诊室患者就诊秩序情况，防止和减少各类问题的发生。</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（3）注意发现楼层通道是否有异常情况，若发现立即处理并报告。</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（4）熟悉医院内部环境，消防设施分布，灭火器材的摆放点，防盗防火报警装置的位置，会熟练使用各种灭火器材，发现隐患及时上报，保证消防设施处于良好状态，保证消防通道畅通。</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（5）协助各部门领导处理各类突发事件。遇突发性事件或紧急报警要沉着冷静，快速将出事地点通知保卫科和院领导，并对事件现场录像存档。</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（6）发生应急事件负责控制医院楼梯口。</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（7）严格遵守交接班制度，做好值班记录，做到三班全面监控。</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3、急诊门守护岗</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（1）禁止急诊区域车辆乱停乱放，保持绿色通道畅通。</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（2）负责120救护车车辆接车工作。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（3）维持急诊排队就医的有序进行。</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（4）保持周边环境的卫生整洁干净。</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（5）熟悉了解医院各部门及各诊疗场所分布情况，为患者就医提供方便。</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（6）禁止散发小广告、乞讨人员，以及宠物进入医院。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4、夜间保安职责</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（1）上岗前应于白班执勤人员交接清楚，坚守岗位，对于夜间出入人员加强询查登记工作。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（2）要增强反应，机动能力，对医院重要部位（电梯、楼道、卫生间、办公室、库房、配电室）要加强巡查力度。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（3）巡查各楼层，检查应关闭的灯光、门、窗、空调。</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（4）提高警惕，发生应急事件负责控制前门，立即报告值班人员，并协助处理。做好值班记录。</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（五）工作制度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 交接班的制度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（1）上下班人员按时交接，交接过程中出现的问题应及时予以解决并向保安队长汇报。</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（2）按时交接班，接班人员应提前10分钟到达岗位。接班人员未到达前，当班人员不能离岗。</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（3）接班时讲明交接班注意事项，并做好处理工作。</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接班人员到工作岗位进行交接，交班人必须向接班人详细讲明待办及注意事项。接班人要详细了解上一班执勤情况和本班应注意事项，应做到“三明”；上班情况明，本班接办的事情明，物品、器械清点明。</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（5）交班人在下班前必须填好值班记录，应做到“三清”：本班情况清，交接的问题清，物品、器械清。</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（6）交接的对讲机及其他器材必须当面检查清楚，发现问题及时反馈保卫科，值班人员做好记录，并追究当事人责任。</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（7）交接时要做好记录并签名。队员之间必须相互协调做好交接工作，并做好交接记录。</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（8）当班人员发现的问题要及时处理，不能移交给下班人员，事情要继续在岗处理完，接班人协助完成。</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 请示报告制度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（1）保安员遇有紧急情况和重大问题时，要及时、具体、准确地向上级领导和院部等有关部门请示、报告。</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（2）对保卫科领导和院部有关处置紧急情况的工作报告，要立即、坚决执行执行结果要及时反馈，并做好详细记录。</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 勤务登记制度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（1）勤务登记由当班人员负责记录。</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（2）勤务登记的内容：主要记载上级指示、通知、交办的事项及值班期间发生和处理的问题。记录必须清晰、准确、全面，不得随意涂改，并妥善保管。</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（六）教育培训</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中标人要加强对保安队员的法纪教育和业务学习训练，每季度集中理论学习不少于4小时，规范化执勤、消防灭火、防暴训练等不少于4小时。</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每年中标人要分批组织所有派驻保安员进行业务集中培训，每批培训时间不少于2天，培训方案要报招标人备案，培训期间邀请招标人安保部门现场巡视。</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一切培训费用均由中标人承担。</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四、培训计划</w:t>
      </w:r>
      <w:r/>
    </w:p>
    <w:tbl>
      <w:tblPr>
        <w:tblStyle w:val="7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0"/>
        <w:gridCol w:w="5047"/>
        <w:gridCol w:w="1595"/>
        <w:gridCol w:w="1767"/>
      </w:tblGrid>
      <w:tr>
        <w:trPr>
          <w:cantSplit/>
          <w:jc w:val="center"/>
          <w:trHeight w:val="90"/>
        </w:trPr>
        <w:tc>
          <w:tcPr>
            <w:tcW w:w="1290"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时  间</w:t>
            </w:r>
            <w:r/>
          </w:p>
        </w:tc>
        <w:tc>
          <w:tcPr>
            <w:tcW w:w="5047" w:type="dxa"/>
            <w:vAlign w:val="center"/>
            <w:textDirection w:val="lrTb"/>
            <w:noWrap w:val="false"/>
          </w:tcPr>
          <w:p>
            <w:pPr>
              <w:ind w:firstLine="480"/>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培训内容</w:t>
            </w:r>
            <w:r/>
          </w:p>
        </w:tc>
        <w:tc>
          <w:tcPr>
            <w:tcW w:w="159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实施方式</w:t>
            </w:r>
            <w:r/>
          </w:p>
        </w:tc>
        <w:tc>
          <w:tcPr>
            <w:tcW w:w="1767" w:type="dxa"/>
            <w:vAlign w:val="center"/>
            <w:textDirection w:val="lrTb"/>
            <w:noWrap w:val="false"/>
          </w:tcPr>
          <w:p>
            <w:pPr>
              <w:ind w:firstLine="480"/>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备  注</w:t>
            </w:r>
            <w:r/>
          </w:p>
        </w:tc>
      </w:tr>
      <w:tr>
        <w:trPr>
          <w:cantSplit/>
          <w:jc w:val="center"/>
          <w:trHeight w:val="90"/>
        </w:trPr>
        <w:tc>
          <w:tcPr>
            <w:tcW w:w="1290"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一季度</w:t>
            </w:r>
            <w:r/>
          </w:p>
        </w:tc>
        <w:tc>
          <w:tcPr>
            <w:tcW w:w="504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一、保安服务概述：</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保安服务业的产生和发展；</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保安从业单位和保安培训单位；</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保安员；</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保安服务监督管理及法律责任；</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二、保安门卫：</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保安门卫的特点和内容；</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保安门卫的岗位要求和勤务制度；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三、保安服务管理条例</w:t>
            </w:r>
            <w:r/>
          </w:p>
        </w:tc>
        <w:tc>
          <w:tcPr>
            <w:tcW w:w="1595"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集中培训</w:t>
            </w:r>
            <w:r/>
          </w:p>
        </w:tc>
        <w:tc>
          <w:tcPr>
            <w:tcW w:w="176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cantSplit/>
          <w:jc w:val="center"/>
          <w:trHeight w:val="90"/>
        </w:trPr>
        <w:tc>
          <w:tcPr>
            <w:tcW w:w="1290"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二季度</w:t>
            </w:r>
            <w:r/>
          </w:p>
        </w:tc>
        <w:tc>
          <w:tcPr>
            <w:tcW w:w="504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一、保安守护：</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保安守护的特点和内容；</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保安守护的岗位要求和勤务制度；</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二、保安巡逻与控制：</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保安区域巡逻；</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人员聚集场所保安巡逻；</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保安人群控制；</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公安机关实施保安服务管理条例办</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法。</w:t>
            </w:r>
            <w:r/>
          </w:p>
        </w:tc>
        <w:tc>
          <w:tcPr>
            <w:tcW w:w="1595"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集中培训</w:t>
            </w:r>
            <w:r/>
          </w:p>
        </w:tc>
        <w:tc>
          <w:tcPr>
            <w:tcW w:w="176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cantSplit/>
          <w:jc w:val="center"/>
          <w:trHeight w:val="90"/>
        </w:trPr>
        <w:tc>
          <w:tcPr>
            <w:tcW w:w="1290"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三季度</w:t>
            </w:r>
            <w:r/>
          </w:p>
        </w:tc>
        <w:tc>
          <w:tcPr>
            <w:tcW w:w="504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一、保安巡逻与控制技能：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1.保安区域巡逻技能；2.人员聚集场所巡逻技能；3.保安人群控制技能；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二、保安人力防范技能：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1.保安人力防范方案与发展计划的实施；2.保安人力防范服务方案与发展计划的制订；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三、保安技术防范技能：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1.技术防范设施的使用；2. 技术防范方案的制订；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四、保安员培训教学大纲（试行）</w:t>
            </w:r>
            <w:r/>
          </w:p>
        </w:tc>
        <w:tc>
          <w:tcPr>
            <w:tcW w:w="1595"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集中培训</w:t>
            </w:r>
            <w:r/>
          </w:p>
        </w:tc>
        <w:tc>
          <w:tcPr>
            <w:tcW w:w="176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cantSplit/>
          <w:jc w:val="center"/>
          <w:trHeight w:val="90"/>
        </w:trPr>
        <w:tc>
          <w:tcPr>
            <w:tcW w:w="1290"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四季度</w:t>
            </w:r>
            <w:r/>
          </w:p>
        </w:tc>
        <w:tc>
          <w:tcPr>
            <w:tcW w:w="504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一、保安员的基本技能：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1.基本体能与防卫技能；2.现场急救技能；3.消防技能；4.现场保护技能；5.保安员应掌握的其他技能；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二、保安门卫技能：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1.保安门卫的方法；2.保安门卫紧急情况的处置；3.保安门卫方案与预案的制订；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三、保安守护技能：</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1.保安守护的实施；2.保安守护方案与预案的制订；</w:t>
            </w:r>
            <w:r/>
          </w:p>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四、保安员国家职业标准；</w:t>
            </w:r>
            <w:r/>
          </w:p>
        </w:tc>
        <w:tc>
          <w:tcPr>
            <w:tcW w:w="1595"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集中培训</w:t>
            </w:r>
            <w:r/>
          </w:p>
        </w:tc>
        <w:tc>
          <w:tcPr>
            <w:tcW w:w="176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bl>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五、安全保卫工作监管考核表   </w:t>
      </w:r>
      <w:r/>
    </w:p>
    <w:tbl>
      <w:tblPr>
        <w:tblStyle w:val="769"/>
        <w:tblW w:w="9936" w:type="dxa"/>
        <w:jc w:val="center"/>
        <w:tblLayout w:type="autofit"/>
        <w:tblCellMar>
          <w:left w:w="108" w:type="dxa"/>
          <w:top w:w="0" w:type="dxa"/>
          <w:right w:w="108" w:type="dxa"/>
          <w:bottom w:w="0" w:type="dxa"/>
        </w:tblCellMar>
        <w:tblLook w:val="04A0" w:firstRow="1" w:lastRow="0" w:firstColumn="1" w:lastColumn="0" w:noHBand="0" w:noVBand="1"/>
      </w:tblPr>
      <w:tblGrid>
        <w:gridCol w:w="1251"/>
        <w:gridCol w:w="938"/>
        <w:gridCol w:w="3702"/>
        <w:gridCol w:w="3107"/>
        <w:gridCol w:w="938"/>
      </w:tblGrid>
      <w:tr>
        <w:trPr>
          <w:jc w:val="center"/>
          <w:trHeight w:val="285"/>
        </w:trPr>
        <w:tc>
          <w:tcPr>
            <w:tcBorders>
              <w:top w:val="single" w:color="auto" w:sz="4" w:space="0"/>
              <w:left w:val="single" w:color="auto" w:sz="4" w:space="0"/>
              <w:bottom w:val="single" w:color="000000" w:sz="4" w:space="0"/>
              <w:right w:val="single" w:color="000000" w:sz="4" w:space="0"/>
            </w:tcBorders>
            <w:tcW w:w="1251"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类别</w:t>
            </w:r>
            <w:r/>
          </w:p>
        </w:tc>
        <w:tc>
          <w:tcPr>
            <w:tcBorders>
              <w:top w:val="single" w:color="auto" w:sz="4" w:space="0"/>
              <w:left w:val="none" w:color="000000" w:sz="4" w:space="0"/>
              <w:bottom w:val="single" w:color="000000" w:sz="4" w:space="0"/>
              <w:right w:val="single" w:color="000000" w:sz="4" w:space="0"/>
            </w:tcBorders>
            <w:tcW w:w="938"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序号</w:t>
            </w:r>
            <w:r/>
          </w:p>
        </w:tc>
        <w:tc>
          <w:tcPr>
            <w:tcBorders>
              <w:top w:val="single" w:color="auto" w:sz="4" w:space="0"/>
              <w:left w:val="none" w:color="000000" w:sz="4" w:space="0"/>
              <w:bottom w:val="single" w:color="000000" w:sz="4" w:space="0"/>
              <w:right w:val="single" w:color="000000" w:sz="4" w:space="0"/>
            </w:tcBorders>
            <w:tcW w:w="3702"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考  核  内  容</w:t>
            </w:r>
            <w:r/>
          </w:p>
        </w:tc>
        <w:tc>
          <w:tcPr>
            <w:tcBorders>
              <w:top w:val="single" w:color="auto" w:sz="4" w:space="0"/>
              <w:left w:val="none" w:color="000000" w:sz="4" w:space="0"/>
              <w:bottom w:val="single" w:color="000000" w:sz="4" w:space="0"/>
              <w:right w:val="single" w:color="000000" w:sz="4" w:space="0"/>
            </w:tcBorders>
            <w:tcW w:w="310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奖  惩  细  则</w:t>
            </w:r>
            <w:r/>
          </w:p>
        </w:tc>
        <w:tc>
          <w:tcPr>
            <w:tcBorders>
              <w:top w:val="single" w:color="auto"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考评分值</w:t>
            </w:r>
            <w:r/>
          </w:p>
        </w:tc>
      </w:tr>
      <w:tr>
        <w:trPr>
          <w:cantSplit/>
          <w:jc w:val="center"/>
          <w:trHeight w:val="679"/>
        </w:trPr>
        <w:tc>
          <w:tcPr>
            <w:tcBorders>
              <w:top w:val="none" w:color="000000" w:sz="4" w:space="0"/>
              <w:left w:val="single" w:color="auto" w:sz="4" w:space="0"/>
              <w:bottom w:val="single" w:color="000000" w:sz="4" w:space="0"/>
              <w:right w:val="single" w:color="000000" w:sz="4" w:space="0"/>
            </w:tcBorders>
            <w:tcW w:w="1251" w:type="dxa"/>
            <w:vAlign w:val="center"/>
            <w:vMerge w:val="restart"/>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岗位职责及制度（9分）</w:t>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严格落实岗位培训准入制度，岗位员工培训合格率100%</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无制度扣1分</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28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员工培训合格后需建立完善的“一人一档”制度。包含培训考核成绩单及日常重要培训签到表等。按合同规定配备人数上岗执勤</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按岗位对人员进行考核，发现脱岗扣1分，累计扣分，扣完为止。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cantSplit/>
          <w:jc w:val="center"/>
          <w:trHeight w:val="28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派驻保安员需按要求持证上岗</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未持证上岗的扣1分</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合理投诉次数每月小于3次，每项投诉需及时有效化解,不得激化矛盾</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每次12345合理投诉扣100元</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ind w:firstLine="480"/>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cyan"/>
                <w:lang w:val="en-US" w:eastAsia="zh-CN"/>
              </w:rPr>
            </w:pPr>
            <w:r>
              <w:rPr>
                <w:rFonts w:hint="eastAsia" w:ascii="宋体" w:hAnsi="宋体" w:eastAsia="宋体" w:cs="宋体"/>
                <w:b w:val="0"/>
                <w:bCs w:val="0"/>
                <w:color w:val="auto"/>
                <w:sz w:val="24"/>
                <w:szCs w:val="24"/>
                <w:highlight w:val="cyan"/>
                <w:lang w:val="en-US" w:eastAsia="zh-CN"/>
              </w:rPr>
            </w:r>
            <w:r/>
          </w:p>
        </w:tc>
      </w:tr>
      <w:tr>
        <w:trPr>
          <w:cantSplit/>
          <w:jc w:val="center"/>
          <w:trHeight w:val="840"/>
        </w:trPr>
        <w:tc>
          <w:tcPr>
            <w:tcBorders>
              <w:top w:val="none" w:color="000000" w:sz="4" w:space="0"/>
              <w:left w:val="single" w:color="auto" w:sz="4" w:space="0"/>
              <w:bottom w:val="single" w:color="auto"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tcBorders>
              <w:top w:val="none" w:color="000000"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定期与采购人管理部门沟通，如发现问题\隐患无法处理的应及时上报</w:t>
            </w:r>
            <w:r/>
          </w:p>
        </w:tc>
        <w:tc>
          <w:tcPr>
            <w:tcBorders>
              <w:top w:val="none" w:color="000000" w:sz="4" w:space="0"/>
              <w:left w:val="none" w:color="000000" w:sz="4" w:space="0"/>
              <w:bottom w:val="single" w:color="auto"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未发现并上报的扣1分/次，累计扣分，扣完为止</w:t>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cantSplit/>
          <w:jc w:val="center"/>
          <w:trHeight w:val="758"/>
        </w:trPr>
        <w:tc>
          <w:tcPr>
            <w:tcBorders>
              <w:top w:val="single" w:color="auto" w:sz="4" w:space="0"/>
              <w:left w:val="single" w:color="auto" w:sz="4" w:space="0"/>
              <w:bottom w:val="single" w:color="000000"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遵守采购人管理制度，完成采购人安排的日常工作任务及指令性特殊任务</w:t>
            </w:r>
            <w:r/>
          </w:p>
        </w:tc>
        <w:tc>
          <w:tcPr>
            <w:tcBorders>
              <w:top w:val="single" w:color="auto" w:sz="4" w:space="0"/>
              <w:left w:val="none" w:color="000000" w:sz="4" w:space="0"/>
              <w:bottom w:val="single" w:color="auto"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不遵守制度扣2分</w:t>
            </w:r>
            <w:r/>
          </w:p>
        </w:tc>
        <w:tc>
          <w:tcPr>
            <w:tcBorders>
              <w:top w:val="single" w:color="auto" w:sz="4" w:space="0"/>
              <w:left w:val="none" w:color="000000"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cantSplit/>
          <w:jc w:val="center"/>
          <w:trHeight w:val="570"/>
        </w:trPr>
        <w:tc>
          <w:tcPr>
            <w:tcBorders>
              <w:top w:val="none" w:color="000000" w:sz="4" w:space="0"/>
              <w:left w:val="single" w:color="auto" w:sz="4" w:space="0"/>
              <w:bottom w:val="single" w:color="auto" w:sz="4" w:space="0"/>
              <w:right w:val="single" w:color="000000" w:sz="4" w:space="0"/>
            </w:tcBorders>
            <w:tcW w:w="1251" w:type="dxa"/>
            <w:vAlign w:val="center"/>
            <w:vMerge w:val="restart"/>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日常工作记录</w:t>
            </w:r>
            <w:r/>
          </w:p>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（31分）</w:t>
            </w:r>
            <w:r/>
          </w:p>
        </w:tc>
        <w:tc>
          <w:tcPr>
            <w:tcBorders>
              <w:top w:val="single" w:color="auto" w:sz="4" w:space="0"/>
              <w:left w:val="none" w:color="000000"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发现采购人财物存在失盗风险，不及时预警处置的</w:t>
            </w:r>
            <w:r/>
          </w:p>
        </w:tc>
        <w:tc>
          <w:tcPr>
            <w:tcBorders>
              <w:top w:val="single" w:color="auto"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不能及时预警的扣1分/次，累计扣分，扣完为止</w:t>
            </w:r>
            <w:r/>
          </w:p>
        </w:tc>
        <w:tc>
          <w:tcPr>
            <w:tcBorders>
              <w:top w:val="single" w:color="auto"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cantSplit/>
          <w:jc w:val="center"/>
          <w:trHeight w:val="570"/>
        </w:trPr>
        <w:tc>
          <w:tcPr>
            <w:tcBorders>
              <w:top w:val="single" w:color="auto"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w:t>
            </w:r>
            <w:r/>
          </w:p>
        </w:tc>
        <w:tc>
          <w:tcPr>
            <w:tcBorders>
              <w:top w:val="none" w:color="000000"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当值期间发现保安员有违法犯罪、监守自盗或参加打架斗殴等</w:t>
            </w:r>
            <w:r/>
          </w:p>
        </w:tc>
        <w:tc>
          <w:tcPr>
            <w:tcBorders>
              <w:top w:val="none" w:color="000000" w:sz="4" w:space="0"/>
              <w:left w:val="none" w:color="000000" w:sz="4" w:space="0"/>
              <w:bottom w:val="single" w:color="auto"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有此类行为立即辞退，并扣1分/次，累计扣分，扣完为止</w:t>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r>
      <w:tr>
        <w:trPr>
          <w:cantSplit/>
          <w:jc w:val="center"/>
          <w:trHeight w:val="570"/>
        </w:trPr>
        <w:tc>
          <w:tcPr>
            <w:tcBorders>
              <w:top w:val="none" w:color="000000" w:sz="4" w:space="0"/>
              <w:left w:val="single" w:color="auto" w:sz="4" w:space="0"/>
              <w:bottom w:val="single" w:color="000000"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勾结医托、号贩子、小偷等非法人员从事非法活动</w:t>
            </w:r>
            <w:r/>
          </w:p>
        </w:tc>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发现此类行为立即辞退，并扣1分/次，累计扣分，扣完为止</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cantSplit/>
          <w:jc w:val="center"/>
          <w:trHeight w:val="85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w:t>
            </w:r>
            <w:r/>
          </w:p>
        </w:tc>
        <w:tc>
          <w:tcPr>
            <w:tcBorders>
              <w:top w:val="single" w:color="auto"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“医闹”中出现烧纸钱、摆花圈、拉横幅、堵大门等行为，在采购人下达指令后未全力协助公安部门处置的</w:t>
            </w:r>
            <w:r/>
          </w:p>
        </w:tc>
        <w:tc>
          <w:tcPr>
            <w:tcBorders>
              <w:top w:val="single" w:color="auto"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未及时处置的扣1分/次，累计扣分，扣完为止</w:t>
            </w:r>
            <w:r/>
          </w:p>
        </w:tc>
        <w:tc>
          <w:tcPr>
            <w:tcBorders>
              <w:top w:val="single" w:color="auto"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发现吸烟人员未主动劝阻并引导前往吸烟点的</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未劝阻扣0.2分/次，累计扣分，扣完为止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28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值班期间消极怠工，出工不出力的</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消极怠工扣0.5分/次，累计扣分，扣完为止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14</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本派驻点遇紧急情况需保安支援时应立即响应。</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未及时响应扣1分/次，累计扣分，扣完为止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15</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院区内出现“医托”、“号贩子”未及时发现并制止的</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未及时制止扣0.5分/次，累计扣分，扣完为止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cantSplit/>
          <w:jc w:val="center"/>
          <w:trHeight w:val="85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院区出现散发传单、小广告，推销食品、药品等现象，保安未及时制止的。</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未及时制止扣0.5分/次，累计扣分，扣完为止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无故缺席采购人组织的各类业务培训、学习或会议的</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缺席扣0.2分/次，累计扣分，扣完为止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18</w:t>
            </w:r>
            <w:r/>
          </w:p>
        </w:tc>
        <w:tc>
          <w:tcPr>
            <w:tcBorders>
              <w:top w:val="none" w:color="000000"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将个人的易燃、易爆等危险物品带入院区的</w:t>
            </w:r>
            <w:r/>
          </w:p>
        </w:tc>
        <w:tc>
          <w:tcPr>
            <w:tcBorders>
              <w:top w:val="none" w:color="000000" w:sz="4" w:space="0"/>
              <w:left w:val="none" w:color="000000" w:sz="4" w:space="0"/>
              <w:bottom w:val="single" w:color="auto"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发现一次扣0.2分，累计扣分，扣完为止</w:t>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285"/>
        </w:trPr>
        <w:tc>
          <w:tcPr>
            <w:tcBorders>
              <w:top w:val="none" w:color="000000" w:sz="4" w:space="0"/>
              <w:left w:val="single" w:color="auto" w:sz="4" w:space="0"/>
              <w:bottom w:val="single" w:color="000000"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发现宠物入院未及时制止的</w:t>
            </w:r>
            <w:r/>
          </w:p>
        </w:tc>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未制止的扣0.2分/次，累计扣分，扣完为止</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0</w:t>
            </w:r>
            <w:r/>
          </w:p>
        </w:tc>
        <w:tc>
          <w:tcPr>
            <w:tcBorders>
              <w:top w:val="single" w:color="auto"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保安员在公共场所及其他禁止吸烟的场所内吸烟</w:t>
            </w:r>
            <w:r/>
          </w:p>
        </w:tc>
        <w:tc>
          <w:tcPr>
            <w:tcBorders>
              <w:top w:val="single" w:color="auto"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发现在室内吸烟的一次扣50并扣0.5分/次，累计扣分，扣完为止</w:t>
            </w:r>
            <w:r/>
          </w:p>
        </w:tc>
        <w:tc>
          <w:tcPr>
            <w:tcBorders>
              <w:top w:val="single" w:color="auto"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未按规定开展病区防盗巡逻，弄虚作假出现代签名等现象</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未按规定开展的扣0.2分/次，累计扣分，扣完为止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在本院范围内发生被偷、被抢事件后，保安未及时处置的。</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未及时处置的扣0.2分/次，累计扣分，扣完为止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保安队员每周不少于1次体能训练和队列训练</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未达标的扣0.5分/次，累计扣分，扣完为止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85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保安员着装徒步执勤或者外出时，未规定列队执勤，懒散无序（应双人成行，三人成列）</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未按规定扣0.2分/次，累计扣分，扣完为止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保安员在采购人工作场所发生吵架行为的</w:t>
            </w:r>
            <w:r/>
          </w:p>
        </w:tc>
        <w:tc>
          <w:tcPr>
            <w:tcBorders>
              <w:top w:val="none" w:color="000000" w:sz="4" w:space="0"/>
              <w:left w:val="none" w:color="000000" w:sz="4" w:space="0"/>
              <w:bottom w:val="single" w:color="000000"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发生此类现象扣0.5分/次，累计扣分，扣完为止</w:t>
            </w:r>
            <w:r/>
          </w:p>
        </w:tc>
        <w:tc>
          <w:tcPr>
            <w:tcBorders>
              <w:top w:val="none" w:color="000000" w:sz="4" w:space="0"/>
              <w:left w:val="none" w:color="000000"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jc w:val="center"/>
          <w:trHeight w:val="1000"/>
        </w:trPr>
        <w:tc>
          <w:tcPr>
            <w:tcBorders>
              <w:top w:val="none" w:color="000000" w:sz="4" w:space="0"/>
              <w:left w:val="single" w:color="auto" w:sz="4" w:space="0"/>
              <w:bottom w:val="single" w:color="auto" w:sz="4" w:space="0"/>
              <w:right w:val="single" w:color="000000" w:sz="4" w:space="0"/>
            </w:tcBorders>
            <w:tcW w:w="1251"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门前三包（1分）</w:t>
            </w:r>
            <w:r/>
          </w:p>
        </w:tc>
        <w:tc>
          <w:tcPr>
            <w:tcBorders>
              <w:top w:val="none" w:color="000000"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26</w:t>
            </w:r>
            <w:r/>
          </w:p>
        </w:tc>
        <w:tc>
          <w:tcPr>
            <w:tcBorders>
              <w:top w:val="none" w:color="000000"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发现“三无”人员、流浪乞讨人员在院内及“门前三包”范围内未及时劝离的</w:t>
            </w:r>
            <w:r/>
          </w:p>
        </w:tc>
        <w:tc>
          <w:tcPr>
            <w:tcBorders>
              <w:top w:val="none" w:color="000000" w:sz="4" w:space="0"/>
              <w:left w:val="none" w:color="000000" w:sz="4" w:space="0"/>
              <w:bottom w:val="single" w:color="auto" w:sz="4" w:space="0"/>
              <w:right w:val="single" w:color="000000"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发现扣0.2分/次，累计扣分，扣完为止</w:t>
            </w:r>
            <w:r/>
          </w:p>
        </w:tc>
        <w:tc>
          <w:tcPr>
            <w:tcBorders>
              <w:top w:val="none" w:color="000000" w:sz="4" w:space="0"/>
              <w:left w:val="none" w:color="000000"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855"/>
        </w:trPr>
        <w:tc>
          <w:tcPr>
            <w:tcBorders>
              <w:top w:val="single" w:color="auto" w:sz="4" w:space="0"/>
              <w:left w:val="single" w:color="auto" w:sz="4" w:space="0"/>
              <w:bottom w:val="single" w:color="auto" w:sz="4" w:space="0"/>
              <w:right w:val="single" w:color="000000" w:sz="4" w:space="0"/>
            </w:tcBorders>
            <w:tcW w:w="1251" w:type="dxa"/>
            <w:vAlign w:val="center"/>
            <w:vMerge w:val="restart"/>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应急处置</w:t>
            </w:r>
            <w:r/>
          </w:p>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（34分）</w:t>
            </w:r>
            <w:r/>
          </w:p>
        </w:tc>
        <w:tc>
          <w:tcPr>
            <w:tcBorders>
              <w:top w:val="single" w:color="auto"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7</w:t>
            </w:r>
            <w:r/>
          </w:p>
        </w:tc>
        <w:tc>
          <w:tcPr>
            <w:tcBorders>
              <w:top w:val="single" w:color="auto"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处理一般事故：派3-5人、6分钟内到场（小纠纷、财物失窃损坏、人员被困等）</w:t>
            </w:r>
            <w:r/>
          </w:p>
        </w:tc>
        <w:tc>
          <w:tcPr>
            <w:tcBorders>
              <w:top w:val="single" w:color="auto"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未派人或未及时到场的处罚500元扣3分</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r>
      <w:tr>
        <w:trPr>
          <w:cantSplit/>
          <w:jc w:val="center"/>
          <w:trHeight w:val="855"/>
        </w:trPr>
        <w:tc>
          <w:tcPr>
            <w:tcBorders>
              <w:top w:val="single" w:color="auto"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28</w:t>
            </w:r>
            <w:r/>
          </w:p>
        </w:tc>
        <w:tc>
          <w:tcPr>
            <w:tcBorders>
              <w:top w:val="single" w:color="auto"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处理重大事故：要派10-15人、2-5分钟内到（人员、重要财物、交通事故、设备火灾及其他灾害等）</w:t>
            </w:r>
            <w:r/>
          </w:p>
        </w:tc>
        <w:tc>
          <w:tcPr>
            <w:tcBorders>
              <w:top w:val="single" w:color="auto"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未派人或未及时到场的处罚1000元扣5分</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r>
      <w:tr>
        <w:trPr>
          <w:cantSplit/>
          <w:jc w:val="center"/>
          <w:trHeight w:val="855"/>
        </w:trPr>
        <w:tc>
          <w:tcPr>
            <w:tcBorders>
              <w:top w:val="none" w:color="000000" w:sz="4" w:space="0"/>
              <w:left w:val="single" w:color="auto" w:sz="4" w:space="0"/>
              <w:bottom w:val="single" w:color="000000"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处理特大事故：要派15人以上、1-3分内到场（人员伤亡、重要设备及一些区域性灾害）</w:t>
            </w:r>
            <w:r/>
          </w:p>
        </w:tc>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未派人或未及时到场的处罚2000元扣10分</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r>
      <w:tr>
        <w:trPr>
          <w:cantSplit/>
          <w:jc w:val="center"/>
          <w:trHeight w:val="312"/>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0</w:t>
            </w:r>
            <w:r/>
          </w:p>
        </w:tc>
        <w:tc>
          <w:tcPr>
            <w:tcBorders>
              <w:top w:val="single" w:color="auto" w:sz="4" w:space="0"/>
              <w:left w:val="singl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处置突发事件不力，出现畏缩不前、拈轻怕重、借故回避、临阵脱逃，袖手旁观、拒不服从命令等现象</w:t>
            </w:r>
            <w:r/>
          </w:p>
        </w:tc>
        <w:tc>
          <w:tcPr>
            <w:tcBorders>
              <w:top w:val="single" w:color="auto" w:sz="4" w:space="0"/>
              <w:left w:val="singl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出现此类现象的扣1分/次，累计扣分，扣完为止</w:t>
            </w:r>
            <w:r/>
          </w:p>
        </w:tc>
        <w:tc>
          <w:tcPr>
            <w:tcBorders>
              <w:top w:val="single" w:color="auto"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r>
      <w:tr>
        <w:trPr>
          <w:cantSplit/>
          <w:jc w:val="center"/>
          <w:trHeight w:val="85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31</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保安员在医患纠纷现场防范不力，造成医务人员遭殴打、围攻、控制人身自由等后果</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出现此类现象处罚扣1分/次，累计扣分，扣完为止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32</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保安员值班期间睡岗、脱岗、饮酒、赌博或酒后上岗</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出现此类现象扣1分/次，累计扣分，扣完为止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33</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不能熟练使用盾牌、抓捕叉、网枪、执法记录仪、对讲机等防暴器材的</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出现此类现象扣1分/次，累计扣分，扣完为止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r>
      <w:tr>
        <w:trPr>
          <w:jc w:val="center"/>
          <w:trHeight w:val="1009"/>
        </w:trPr>
        <w:tc>
          <w:tcPr>
            <w:tcBorders>
              <w:top w:val="none" w:color="000000" w:sz="4" w:space="0"/>
              <w:left w:val="single" w:color="auto" w:sz="4" w:space="0"/>
              <w:bottom w:val="single" w:color="000000" w:sz="4" w:space="0"/>
              <w:right w:val="single" w:color="000000" w:sz="4" w:space="0"/>
            </w:tcBorders>
            <w:tcW w:w="1251"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节能减排（1分）</w:t>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34</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巡逻保安员在公共区域未按节能管控要求开展节能管控工作的（公共区域的照明灯、空调等）</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未能及时关灯扣0.2分/次，累计扣分，扣完为止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323"/>
        </w:trPr>
        <w:tc>
          <w:tcPr>
            <w:tcBorders>
              <w:top w:val="none" w:color="000000" w:sz="4" w:space="0"/>
              <w:left w:val="single" w:color="auto" w:sz="4" w:space="0"/>
              <w:bottom w:val="single" w:color="000000" w:sz="4" w:space="0"/>
              <w:right w:val="single" w:color="000000" w:sz="4" w:space="0"/>
            </w:tcBorders>
            <w:tcW w:w="1251" w:type="dxa"/>
            <w:vAlign w:val="center"/>
            <w:vMerge w:val="restart"/>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消防管理（19分）</w:t>
            </w:r>
            <w:r/>
          </w:p>
        </w:tc>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35</w:t>
            </w:r>
            <w:r/>
          </w:p>
        </w:tc>
        <w:tc>
          <w:tcPr>
            <w:tcBorders>
              <w:top w:val="none" w:color="000000" w:sz="4" w:space="0"/>
              <w:left w:val="singl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每年至少联合病区开展2次反恐防暴、医闹及消防演练</w:t>
            </w:r>
            <w:r/>
          </w:p>
        </w:tc>
        <w:tc>
          <w:tcPr>
            <w:tcBorders>
              <w:top w:val="none" w:color="000000" w:sz="4" w:space="0"/>
              <w:left w:val="singl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开展少于2次的扣10分</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36</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消防控制室工作人员不熟悉监控设施操作方法、应急处置流程</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不熟悉的扣0.2分/次，累计扣分，扣完为止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37</w:t>
            </w:r>
            <w:r/>
          </w:p>
        </w:tc>
        <w:tc>
          <w:tcPr>
            <w:tcBorders>
              <w:top w:val="none" w:color="000000"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消防控制室工作人员不熟悉消防设施操作方法、应急处置流程</w:t>
            </w:r>
            <w:r/>
          </w:p>
        </w:tc>
        <w:tc>
          <w:tcPr>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不熟悉的扣0.2分/次，累计扣分，扣完为止</w:t>
            </w:r>
            <w:r/>
          </w:p>
        </w:tc>
        <w:tc>
          <w:tcPr>
            <w:tcBorders>
              <w:top w:val="none" w:color="000000" w:sz="4" w:space="0"/>
              <w:left w:val="single" w:color="auto" w:sz="4" w:space="0"/>
              <w:bottom w:val="single" w:color="auto" w:sz="4" w:space="0"/>
              <w:right w:val="single" w:color="auto" w:sz="4" w:space="0"/>
            </w:tcBorders>
            <w:tcW w:w="938" w:type="dxa"/>
            <w:vAlign w:val="center"/>
            <w:textDirection w:val="lrTb"/>
            <w:noWrap/>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38</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发现无动火证施工作业，不立即及时制止的</w:t>
            </w:r>
            <w:r/>
          </w:p>
        </w:tc>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未及时制止扣0.2分/次，累计扣分，扣完为止</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39</w:t>
            </w:r>
            <w:r/>
          </w:p>
        </w:tc>
        <w:tc>
          <w:tcPr>
            <w:tcBorders>
              <w:top w:val="single" w:color="auto"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保安队员对消防“四个能力”“一懂三会”知识不掌握、不熟悉的</w:t>
            </w:r>
            <w:r/>
          </w:p>
        </w:tc>
        <w:tc>
          <w:tcPr>
            <w:tcBorders>
              <w:top w:val="single" w:color="auto"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不熟悉扣0.2分/次，累计扣分，扣完为止</w:t>
            </w:r>
            <w:r/>
          </w:p>
        </w:tc>
        <w:tc>
          <w:tcPr>
            <w:tcBorders>
              <w:top w:val="single" w:color="auto"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40</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未按消防规定对重点部位每2小时进行巡查或记录的</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未进行巡查的扣0.2分/次，累计扣分，扣完为止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41</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保安队员对各类灭火器、消火栓使用方法不熟悉</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不熟悉扣0.2分/次，累计扣分，扣完为止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855"/>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42</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做好消防设备和监控设备的值班监控工作，发现故障在5分钟内报修并协助处理。</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未及时处理扣0.2分/次，累计扣分，扣完为止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院内消防通道被堵塞，未及时通知责任方整改的</w:t>
            </w:r>
            <w:r/>
          </w:p>
        </w:tc>
        <w:tc>
          <w:tcPr>
            <w:tcBorders>
              <w:top w:val="none" w:color="000000" w:sz="4" w:space="0"/>
              <w:left w:val="none" w:color="000000" w:sz="4" w:space="0"/>
              <w:bottom w:val="single" w:color="000000"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未及时处理扣0.2分/次，累计扣分，扣完为止</w:t>
            </w:r>
            <w:r/>
          </w:p>
        </w:tc>
        <w:tc>
          <w:tcPr>
            <w:tcBorders>
              <w:top w:val="none" w:color="000000"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auto" w:sz="4" w:space="0"/>
              <w:right w:val="single" w:color="000000"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4</w:t>
            </w:r>
            <w:r/>
          </w:p>
        </w:tc>
        <w:tc>
          <w:tcPr>
            <w:tcBorders>
              <w:top w:val="none" w:color="000000"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定期巡查院内消火栓、灭火器，发现漏检的</w:t>
            </w:r>
            <w:r/>
          </w:p>
        </w:tc>
        <w:tc>
          <w:tcPr>
            <w:tcBorders>
              <w:top w:val="none" w:color="000000"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未检查扣0.2分/次，累计扣分，扣完为止</w:t>
            </w:r>
            <w:r/>
          </w:p>
        </w:tc>
        <w:tc>
          <w:tcPr>
            <w:tcBorders>
              <w:top w:val="none" w:color="000000"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285"/>
        </w:trPr>
        <w:tc>
          <w:tcPr>
            <w:tcBorders>
              <w:top w:val="single" w:color="auto" w:sz="4" w:space="0"/>
              <w:left w:val="single" w:color="auto" w:sz="4" w:space="0"/>
              <w:bottom w:val="single" w:color="000000" w:sz="4" w:space="0"/>
              <w:right w:val="single" w:color="000000" w:sz="4" w:space="0"/>
            </w:tcBorders>
            <w:tcW w:w="1251" w:type="dxa"/>
            <w:vAlign w:val="center"/>
            <w:vMerge w:val="restart"/>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仪容仪表</w:t>
            </w:r>
            <w:r/>
          </w:p>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（5分）</w:t>
            </w:r>
            <w:r/>
          </w:p>
        </w:tc>
        <w:tc>
          <w:tcPr>
            <w:tcBorders>
              <w:top w:val="single" w:color="auto" w:sz="4" w:space="0"/>
              <w:left w:val="none" w:color="000000"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45</w:t>
            </w:r>
            <w:r/>
          </w:p>
        </w:tc>
        <w:tc>
          <w:tcPr>
            <w:tcBorders>
              <w:top w:val="single" w:color="auto"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帽徽、肩章、臂章佩带不标准的</w:t>
            </w:r>
            <w:r/>
          </w:p>
        </w:tc>
        <w:tc>
          <w:tcPr>
            <w:tcBorders>
              <w:top w:val="single" w:color="auto"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佩戴不标准扣0.2分/次，累计扣分，扣完为止</w:t>
            </w:r>
            <w:r/>
          </w:p>
        </w:tc>
        <w:tc>
          <w:tcPr>
            <w:tcBorders>
              <w:top w:val="single" w:color="auto" w:sz="4" w:space="0"/>
              <w:left w:val="single" w:color="auto" w:sz="4" w:space="0"/>
              <w:bottom w:val="single" w:color="000000"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1425"/>
        </w:trPr>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46</w:t>
            </w:r>
            <w:r/>
          </w:p>
        </w:tc>
        <w:tc>
          <w:tcPr>
            <w:tcBorders>
              <w:top w:val="single" w:color="auto"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保安员在岗期间，着保安服时应举止端庄，谈吐文明，精神振作，姿态得体，不得袖手、背手或将手插入衣袋，不得边走边吃东西、不得搭肩挽臂等</w:t>
            </w:r>
            <w:r/>
          </w:p>
        </w:tc>
        <w:tc>
          <w:tcPr>
            <w:tcBorders>
              <w:top w:val="single" w:color="auto"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发现扣0.2分/次，累计扣分，扣完为止</w:t>
            </w:r>
            <w:r/>
          </w:p>
        </w:tc>
        <w:tc>
          <w:tcPr>
            <w:tcBorders>
              <w:top w:val="none" w:color="000000"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single" w:color="auto" w:sz="4" w:space="0"/>
              <w:left w:val="single" w:color="auto" w:sz="4" w:space="0"/>
              <w:bottom w:val="single" w:color="000000"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47</w:t>
            </w:r>
            <w:r/>
          </w:p>
        </w:tc>
        <w:tc>
          <w:tcPr>
            <w:tcBorders>
              <w:top w:val="single" w:color="auto" w:sz="4" w:space="0"/>
              <w:left w:val="none" w:color="000000" w:sz="4" w:space="0"/>
              <w:bottom w:val="single" w:color="auto" w:sz="4" w:space="0"/>
              <w:right w:val="single" w:color="000000" w:sz="4" w:space="0"/>
            </w:tcBorders>
            <w:tcW w:w="3702"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执勤时应立正或跨立，不得依靠在柜台或墙上，不得双手抱胸、叉腰</w:t>
            </w:r>
            <w:r/>
          </w:p>
        </w:tc>
        <w:tc>
          <w:tcPr>
            <w:tcBorders>
              <w:top w:val="single" w:color="auto"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发现扣0.2分/次，累计扣分，扣完为止</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570"/>
        </w:trPr>
        <w:tc>
          <w:tcPr>
            <w:tcBorders>
              <w:top w:val="none" w:color="000000" w:sz="4" w:space="0"/>
              <w:left w:val="single" w:color="auto" w:sz="4" w:space="0"/>
              <w:bottom w:val="single" w:color="000000"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48</w:t>
            </w:r>
            <w:r/>
          </w:p>
        </w:tc>
        <w:tc>
          <w:tcPr>
            <w:tcBorders>
              <w:top w:val="single" w:color="auto" w:sz="4" w:space="0"/>
              <w:left w:val="single" w:color="auto" w:sz="4" w:space="0"/>
              <w:bottom w:val="single" w:color="auto" w:sz="4" w:space="0"/>
              <w:right w:val="single" w:color="auto"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坐立时翘起二郎腿，躺（睡）在椅（桌）子上</w:t>
            </w:r>
            <w:r/>
          </w:p>
        </w:tc>
        <w:tc>
          <w:tcPr>
            <w:tcBorders>
              <w:top w:val="single" w:color="auto" w:sz="4" w:space="0"/>
              <w:left w:val="single" w:color="auto"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发现扣0.2分/次，累计扣分，扣完为止</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679"/>
        </w:trPr>
        <w:tc>
          <w:tcPr>
            <w:tcBorders>
              <w:top w:val="none" w:color="000000" w:sz="4" w:space="0"/>
              <w:left w:val="single" w:color="auto" w:sz="4" w:space="0"/>
              <w:bottom w:val="single" w:color="auto" w:sz="4" w:space="0"/>
              <w:right w:val="single" w:color="auto" w:sz="4" w:space="0"/>
            </w:tcBorders>
            <w:tcW w:w="1251" w:type="dxa"/>
            <w:vAlign w:val="center"/>
            <w:vMerge w:val="continue"/>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000000" w:sz="4" w:space="0"/>
            </w:tcBorders>
            <w:tcW w:w="938" w:type="dxa"/>
            <w:vAlign w:val="center"/>
            <w:textDirection w:val="lrTb"/>
            <w:noWrap w:val="false"/>
          </w:tcPr>
          <w:p>
            <w:pPr>
              <w:jc w:val="center"/>
              <w:keepLines w:val="0"/>
              <w:keepNext w:val="0"/>
              <w:pageBreakBefore w:val="0"/>
              <w:spacing w:line="52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49</w:t>
            </w:r>
            <w:r/>
          </w:p>
        </w:tc>
        <w:tc>
          <w:tcPr>
            <w:tcBorders>
              <w:top w:val="single" w:color="auto" w:sz="4" w:space="0"/>
              <w:left w:val="none" w:color="000000" w:sz="4" w:space="0"/>
              <w:bottom w:val="single" w:color="auto" w:sz="4" w:space="0"/>
              <w:right w:val="single" w:color="000000" w:sz="4" w:space="0"/>
            </w:tcBorders>
            <w:tcW w:w="3702"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值班室卫生不干净、不整洁</w:t>
            </w:r>
            <w:r/>
          </w:p>
        </w:tc>
        <w:tc>
          <w:tcPr>
            <w:tcBorders>
              <w:top w:val="single" w:color="auto" w:sz="4" w:space="0"/>
              <w:left w:val="none" w:color="000000" w:sz="4" w:space="0"/>
              <w:bottom w:val="single" w:color="auto" w:sz="4" w:space="0"/>
              <w:right w:val="single" w:color="auto" w:sz="4" w:space="0"/>
            </w:tcBorders>
            <w:tcW w:w="3107"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发现扣0.2分/次，累计扣分，扣完为止</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tcPr>
          <w:p>
            <w:pPr>
              <w:jc w:val="center"/>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r>
      <w:tr>
        <w:trPr>
          <w:cantSplit/>
          <w:jc w:val="center"/>
          <w:trHeight w:val="679"/>
        </w:trPr>
        <w:tc>
          <w:tcPr>
            <w:tcBorders>
              <w:top w:val="single" w:color="auto" w:sz="4" w:space="0"/>
              <w:left w:val="single" w:color="auto" w:sz="4" w:space="0"/>
              <w:bottom w:val="single" w:color="auto" w:sz="4" w:space="0"/>
              <w:right w:val="single" w:color="000000" w:sz="4" w:space="0"/>
            </w:tcBorders>
            <w:tcW w:w="1251" w:type="dxa"/>
            <w:vAlign w:val="center"/>
            <w:textDirection w:val="lrTb"/>
            <w:noWrap w:val="false"/>
          </w:tcPr>
          <w:p>
            <w:pPr>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总分</w:t>
            </w:r>
            <w:r/>
          </w:p>
        </w:tc>
        <w:tc>
          <w:tcPr>
            <w:gridSpan w:val="4"/>
            <w:tcBorders>
              <w:top w:val="single" w:color="auto" w:sz="4" w:space="0"/>
              <w:left w:val="none" w:color="000000" w:sz="4" w:space="0"/>
              <w:bottom w:val="single" w:color="auto" w:sz="4" w:space="0"/>
              <w:right w:val="single" w:color="auto" w:sz="4" w:space="0"/>
            </w:tcBorders>
            <w:tcW w:w="8685" w:type="dxa"/>
            <w:vAlign w:val="center"/>
            <w:textDirection w:val="lrTb"/>
            <w:noWrap w:val="false"/>
          </w:tcPr>
          <w:p>
            <w:pPr>
              <w:ind w:firstLine="480"/>
              <w:jc w:val="left"/>
              <w:keepLines w:val="0"/>
              <w:keepNext w:val="0"/>
              <w:pageBreakBefore w:val="0"/>
              <w:spacing w:line="52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100分</w:t>
            </w:r>
            <w:r/>
          </w:p>
        </w:tc>
      </w:tr>
    </w:tbl>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说明：综合考核100分为基准分，综合考核90分以上视为考核合格，低于90分，每低1分，服务费扣减1000元；连续三个月低于80分，采购人有权提前终止合约。</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采购项目需落实的政府采购政策</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采购人应当落实政府采购政策，包括但不限于促进中小企业发展、促进残疾人就业、政府绿色采购政策等。</w:t>
      </w:r>
      <w:bookmarkEnd w:id="9"/>
      <w:r/>
      <w:bookmarkEnd w:id="10"/>
      <w:r/>
      <w:bookmarkEnd w:id="11"/>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供应商综合实力要求</w:t>
      </w:r>
      <w:r/>
    </w:p>
    <w:p>
      <w:pPr>
        <w:numPr>
          <w:ilvl w:val="0"/>
          <w:numId w:val="0"/>
        </w:numPr>
        <w:ind w:firstLine="480"/>
        <w:jc w:val="left"/>
        <w:keepLines w:val="0"/>
        <w:keepNext w:val="0"/>
        <w:pageBreakBefore w:val="0"/>
        <w:spacing w:line="52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1、为确保保安工作顺利开展，投标人自2022年1月1日以来（以合同签订时间为准）承担过类似项目业绩的优先。</w:t>
      </w:r>
      <w:r/>
    </w:p>
    <w:p>
      <w:pPr>
        <w:numPr>
          <w:ilvl w:val="0"/>
          <w:numId w:val="0"/>
        </w:numPr>
        <w:ind w:firstLine="480"/>
        <w:jc w:val="left"/>
        <w:keepLines w:val="0"/>
        <w:keepNext w:val="0"/>
        <w:pageBreakBefore w:val="0"/>
        <w:spacing w:line="520" w:lineRule="exact"/>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2、为体现供应商的综合实力，取得质量管理体系认证、环境管理体系认证、职业健康安全管理体系认证和企业诚信管理体系认证的优先。</w:t>
      </w:r>
      <w:r/>
    </w:p>
    <w:p>
      <w:pPr>
        <w:numPr>
          <w:ilvl w:val="0"/>
          <w:numId w:val="0"/>
        </w:numPr>
        <w:ind w:firstLine="480"/>
        <w:jc w:val="left"/>
        <w:keepLines w:val="0"/>
        <w:keepNext w:val="0"/>
        <w:pageBreakBefore w:val="0"/>
        <w:spacing w:line="52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3、项目组成员（除项目经理外）中，具有高级（职业技能三级）保安员职业资格证书或中级保安员的给予加分。</w:t>
      </w:r>
      <w:r/>
    </w:p>
    <w:p>
      <w:pPr>
        <w:numPr>
          <w:ilvl w:val="0"/>
          <w:numId w:val="0"/>
        </w:numPr>
        <w:ind w:firstLine="482"/>
        <w:jc w:val="left"/>
        <w:keepLines w:val="0"/>
        <w:keepNext w:val="0"/>
        <w:pageBreakBefore w:val="0"/>
        <w:spacing w:line="520" w:lineRule="exact"/>
        <w:widowControl w:val="off"/>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八、服务方案要求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1、保安服务方案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方案至少包含①服务内容、②工作流程、③工作管理制度等内容。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1.1服务内容要求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（1）依照规定与管理要求，结合医院安全保卫工作实际情况，制订切实可行的安全保卫工作整体方案，开展专业化安防业务。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（2）全面负责门卫管理，负责对外来机动车辆、外来人员、出入医院物品进行检查、登记等门卫值勤工作。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（3）全面负责院区内安全重点部位的防破坏、防事故、防盗、防外来人员私自进入等守护守卫工作。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（4）全面负责院区的治安巡逻、消防巡查，及时发现各类安全隐患，制止医院不文明现象，发现和制止医院暴力事件，随时准备提供紧急救助。</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（5）驻院各班组负责人及消防控制室值班人员同时还是医院微型消防站成员，不仅需要履行常规的工作职责，还需要承担消防安全管理与应急处置的任务。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严格执行医院安全生产、治安保卫、消防安全工作制度，负责做好医院安全生产、治安保卫、消防安全等工作。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（7）在安全生产保卫科的组织领导下，协同做好医院内部治安综合治理工作，负责做好医院交通管理工作，做好院区内的乱设摊点、乱挂横幅及各类广告等的检查处理。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（8）抽调保安力量，做好医院重大会议、活动安全保卫工作。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配合安全生产保卫科执行各项管理制度，维护医院内就医、交通、生活秩序，执行率l00%；接受安全生产保卫科的监督检查、考核及业务指导。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（10）其它属于保安服务范围内的工作以及医院临时交办的任务。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1.2工作流程要求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日常安保服务核心工作流程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（一）出入管控流程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人员出入管控：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岗前准备：安保人员提前15分钟到岗，核对值班日志、交接重点事项（如当日特殊诊疗活动、重点管控区域），检查门禁设备、体温检测仪器、身份核验工具等是否正常。</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口查验：在医院主要出入口（门诊楼、住院楼、急诊楼）对进入人员进行分流引导，优先保障急救人员、孕产妇、婴幼儿及陪同人员快速通行；行政办公区域对来访人员实行“身份核验+事由登记”管理，核对有效证件并登记姓名、联系方式、访问科室/人员等信息，告知医院安全管理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口管理：关注人员离院动态，对携带大件物品（如医疗设备、药品、患者行李）离院的，核查相关凭证（如出院证明、物品放行单），确认无误后登记放行；发现可疑人员或异常情况，立即上前询问核实，必要时通知值班领导或联动其他岗位安保人员处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殊区域管控：针对新生儿科、产房、ICU、手术室等核心敏感区域，实行“双人值守+凭证准入”制度，严格核查进入人员身份（医护人员工牌、家属探视证），禁止无关人员进入；对探视人员按医院规定把控探视时间、人数，引导有序探视，避免喧哗干扰诊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车辆出入与停放管控：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入口引导：在医院大门、停车场入口设置引导岗，对进入车辆进行分类引导（急救车、救护车优先通行，孕产妇车辆引导至专用临时停车位，社会车辆引导至公共停车场），告知停车收费标准及安全注意事项。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车辆核验：核查进入车辆是否为医院公务车、合作单位车辆，对陌生车辆登记车牌、驾驶员信息；禁止危险品运输车辆、无牌无证车辆、超限超载车辆进入医院（急救车辆除外）。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放管理：安保人员定时巡查停车场，引导车辆规范停放，避免占用消防通道、急救通道、人行通道；及时处理车辆剐蹭、拥堵等突发情况，协助车主联系保险公司或疏导交通；对长时间停放未移动的车辆，核查信息并联系车主，必要时按规定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出口放行：核对驶出车辆停车凭证，确认费用结清后放行；对急救车辆、公务车辆优先放行，保障通行效率。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（二）日常巡逻防控流程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计划制定：服务商需结合医院各区域安全风险等级，制定“定点值守+动态巡逻”相结合的巡逻计划，明确巡逻路线、巡逻频次（核心区域每30分钟1次，普通区域每1小时1次，夜间每2小时1次）、巡逻人员及责任分工，巡逻计划需报招标人后勤保障部门审批后执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巡逻准备：巡逻人员岗前检查通讯设备（对讲机）、照明设备、防暴器材（橡胶棍、防刺背心等）是否完好，明确当日巡逻重点（如大型诊疗活动现场、施工区域、消防通道、水电设施机房周边）。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巡逻实施：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区域巡查：重点检查新生儿科、急诊区、药房、收费处、物资仓库等区域的门窗锁具、监控设备、消防设施是否完好，有无可疑人员逗留、异常声响或安全隐患；对施工区域，核查施工人员资质，检查施工安全措施是否落实到位，避免影响诊疗秩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普通区域巡查：检查走廊、楼梯间、电梯口等区域的人员流动情况，及时制止喧哗、打闹、吸烟等违规行为；核查消防通道、急救通道是否畅通，消防设施是否完好有效，应急照明、疏散指示标志是否正常。</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与反馈：巡逻人员需填写《巡逻日志》，详细记录巡逻时间、路线、发现的问题及处理情况；发现轻微安全隐患（如杂物堆放、门窗未锁），立即现场整改；发现重大安全隐患（如消防设施损坏、电路老化、可疑危险物品），立即设置警示标识，疏散周边人员，同步上报服务商值班领导及招标人后勤保障部门，并协助落实整改措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间巡逻强化：夜间巡逻需增加巡逻人员配置，携带强光手电、应急通讯设备等，重点巡查医院围墙周边、停车场、无人值守区域，防范盗窃、破坏等安全事件；对夜间急诊区、住院楼出入口等重点部位，加强值守力量，保障医患夜间出行安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（三）监控值守与应急响应流程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监控值守：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专人值守监控中心，实时监控医院各区域监控画面，重点关注出入口、核心诊疗区域、停车场、消防通道等关键部位，发现异常情况（如人员聚集、冲突纠纷、可疑人员活动）立即锁定画面，跟踪事态发展，并通过对讲机通知就近安保人员到场处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定期检查监控设备运行状态，确保画面清晰、存储正常；发现监控设备故障，立即记录并上报服务商及招标人后勤保障部门，协助组织维修，保障监控系统全天候有效运行。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严格遵守监控信息保密规定，严禁泄露监控画面、存储数据等信息；如需调取监控资料，需经招标人相关部门审批后，由专人协助调取并做好登记。</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1.3工作管理制度要求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（一）交接班的制度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（1）上下班人员按时交接，交接过程中出现的问题应及时予以解决并向保安队长汇报。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（2）按时交接班，接班人员应提前10分钟到达岗位。接班人员未到达前，当班人员不能离岗。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（3）接班时讲明交接班注意事项，并做好处理工作。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班人员到工作岗位进行交接，交班人必须向接班人详细讲明待办及注意事项。接班人要详细了解上一班执勤情况和本班应注意事项，应做到“三明”；上班情况明，本班接办的事情明，物品、器械清点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（5）交班人在下班前必须填好值班记录，应做到“三清”：本班情况清，交接的问题清，物品、器械清。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（6）交接的对讲机及其他器材必须当面检查清楚，发现问题及时反馈保卫科，值班人员做好记录，并追究当事人责任。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（7）交接时要做好记录并签名。队员之间必须相互协调做好交接工作，并做好交接记录。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（8）当班人员发现的问题要及时处理，不能移交给下班人员，事情要继续在岗处理完，接班人协助完成。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（二）请示报告制度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（1）保安员遇有紧急情况和重大问题时，要及时、具体、准确地向上级领导和院部等有关部门请示、报告。</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（2）对保卫科领导和院部有关处置紧急情况的工作报告，要立即、坚决执行执行结果要及时反馈，并做好详细记录。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（三）勤务登记制度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（1）勤务登记由当班人员负责记录。</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（2）勤务登记的内容：主要记载上级指示、通知、交办的事项及值班期间发生和处理的问题。记录必须清晰、准确、全面，不得随意涂改，并妥善保管。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1.3工作要求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保安员岗位实行每天8小时工作制，按采购人的要求安排。</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（2）保安员须熟悉服务区域的业务管理知识，中标供应商可提前与采购人协商培训事宜。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（3）保安员应接受采购人的监督，在采购人的监督下开展安全防范工作和服务场所的日常管理工作。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（4）中标供应商应指派专职人员进行工作接洽和日常工作管理，并派员对保安员进行经常性的检查督促及教育培训。</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（5）保安员必须遵守采购人的各项规章制度。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（6）中标人应服从采购人的工作安排，包括但不仅限于服务地点和人员数量等。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（7）采购人可根据项目实际对相关工作要求进行增减及细化。</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2、人员管理方案要求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方案至少包含①项目组织结构；②岗位设置、人员配备；③岗位职责。</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2.1项目组织结构要求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（1）项目组织结构核心原则</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适配性原则：组织结构需充分适配妇幼保健院场景特点，重点强化急诊区、新生儿科、产房等核心敏感区域的安保力量配置，满足人流管控、突发医患纠纷处置、特殊人群安全保障等专项需求。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高效响应原则：建立扁平化管理架构，减少管理层级，确保指令传达及时、处置响应迅速，一般突发事件处置响应时间不超过3分钟，重大突发事件处置响应时间不超过1分钟。</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权责明晰原则：明确项目负责人、各管理岗位及执行岗位的具体职责，建立“事事有人管、件件有落实”的责任闭环，避免推诿扯皮。</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专业保障原则：关键岗位人员需具备医疗行业安保服务经验、应急处置能力及相关从业资质，确保服务团队专业素养符合项目需求。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稳定性原则：项目核心管理及执行人员需保持稳定，未经招标人书面同意，服务商不得擅自更换核心岗位人员，确需更换的，需提前15个工作日提交申请及替补人员资质材料，经审核合格后方可更换。</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（2）项目组织结构框架</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需建立“三级管理、两级执行”的项目组织结构，具体框架如下：</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第一级：项目决策层（总部支持+项目总负责人）</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第二级：项目管理层（现场项目经理、安全主管、后勤保障主管）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第三级：项目执行层（各岗位安保班长、一线安保人员）</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各层级需建立常态化沟通协作机制，确保总部资源支持到位、管理层统筹协调高效、执行层落实精准，形成“总部支撑-现场管理一线执行”的全链条保障体系。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2.2岗位设置、人员配备、岗位职责要求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（1）安保人员配备一览表</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3"/>
        <w:gridCol w:w="3022"/>
        <w:gridCol w:w="1139"/>
        <w:gridCol w:w="325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岗位设置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高级保安员证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安保负责人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消防设施操作员证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（监控方向中级）</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体检中心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行政办公区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盐南高新区分院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2"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常日班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2"/>
              </w:rPr>
              <w:t xml:space="preserve"> </w:t>
            </w:r>
            <w:r>
              <w:rPr>
                <w:rFonts w:ascii="SimSun" w:hAnsi="SimSun" w:eastAsia="SimSun" w:cs="SimSun"/>
                <w:color w:val="000000"/>
                <w:sz w:val="22"/>
              </w:rPr>
              <w:t xml:space="preserve">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0" w:type="dxa"/>
            <w:vAlign w:val="top"/>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人员初中及以上文化，持有初级（职业技能五级）保安员职业格证书、五官端正，身体健康，无传染病及精神病等重大疾病，无残疾，无明显资标记，遵纪守法，品行良好，无违法犯罪记录，55岁以下人员比例不低于80%，男性比例不低于90%。</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2.3岗位职责要求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（一）出入口守护岗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（1）负责前门车辆引导停放和人员通往秩序。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（2）谢绝明显精神病患者、酗酒闹事者、收破烂、乞讨者、推销商品者进入医院。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（3）指挥自行车、电瓶车及其它车辆定点停放。</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（4）禁止在医院正门摆摊设点和进行各种表演义卖，及时制止打架斗殴。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（5）杜绝危险品进入医院、禁止携带宠物进入医院。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（6）对破坏医院形象和声誉的行为及时果断制止并立即上报。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（二）巡逻特勤岗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（1）熟悉医院各区域情况，保持高度的警惕性，有高度的责任感，坚守岗位。</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（2）巡察各楼层各诊室患者就诊秩序情况，防止和减少各类问题的发生。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（3）注意发现楼层通道是否有异常情况，若发现立即处理并报告。</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（4）熟悉医院内部环境，消防设施分布，灭火器材的摆放点，防盗防火报警装置的位置，会熟练使用各种灭火器材，发现隐患及时上报，保证消防设施处于良好状态，保证消防通道畅通。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（5）协助各部门领导处理各类突发事件。遇突发性事件或紧急报警要沉着冷静，快速将出事地点通知保卫科和院领导，并对事件现场录像存档。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（6）发生应急事件负责控制医院楼梯口。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（7）严格遵守交接班制度，做好值班记录，做到三班全面监控。</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（三）急诊门守护岗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（1）禁止急诊区域车辆乱停乱放，保持绿色通道畅通。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（2）负责120救护车车辆接车工作。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（3）维持急诊排队就医的有序进行。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（4）保持周边环境的卫生整洁干净。</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（5）熟悉了解医院各部门及各诊疗场所分布情况，为患者就医提供方便。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（6）禁止散发小广告、乞讨人员，以及宠物进入医院。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（四）夜间保安职责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（1）上岗前应于白班执勤人员交接清楚，坚守岗位，对于夜间出入人员加强询查登记工作。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（2）要增强反应，机动能力，对医院重要部位（电梯、楼道、卫生间、办公室、库房、配电室）要加强巡查力度。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（3）巡查各楼层，检查应关闭的灯光、门、窗、空调。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（4）提高警惕，发生应急事件负责控制前门，立即报告值班人员，并协助处理。做好值班记录。</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3、消防管理方案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方案至少包含：①消防管理组织架构、②岗位设置及职责、③工作流程、</w:t>
      </w:r>
      <w:r>
        <w:rPr>
          <w:rFonts w:ascii="FangSong" w:hAnsi="FangSong" w:eastAsia="FangSong" w:cs="FangSong"/>
          <w:color w:val="000000"/>
          <w:sz w:val="24"/>
        </w:rPr>
        <w:t xml:space="preserve">④</w:t>
      </w:r>
      <w:r>
        <w:rPr>
          <w:rFonts w:ascii="SimSun" w:hAnsi="SimSun" w:eastAsia="SimSun" w:cs="SimSun"/>
          <w:color w:val="000000"/>
          <w:sz w:val="24"/>
        </w:rPr>
        <w:t xml:space="preserve">服务标准及管理制度等。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3.1消防管理组织架构要求：消防安保负责人1人，消防中心专职人员5人。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（一）人员素质保障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派消防安保人员须满足以下基本条件：无违法犯罪记录，文化程度不低于初中，体貌端正；岗前须接受不少于264课时的专项培训，培训内容涵盖医院消防安全制度、消防设施使用、特殊人群疏散引导、应急处置流程等，经理论考试及实操考核合格后方可上岗。乙方须建立人员档案管理制度，档案内容包括身份证复印件、资质证书、无犯罪记录证明、体检报告、培训考核记录等，报甲方备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（二）协同联动保障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消防管理组织须主动融入甲方消防安全管理体系，积极配合甲方消防安全委员会、保卫科开展工作；建立与甲方各科室网格管理员的常态化沟通机制，及时传递消防安全信息，协同落实隐患整改；火灾事故发生时，严格服从甲方统一指挥，与甲方医疗救护团队、后勤保障团队高效联动，确保应急处置工作有序推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（三）考核与追责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将把乙方消防管理组织架构的运行效果纳入年度服务质量考核，考核指标包括人员配置达标率、巡查频次合规率、隐患整改完成率、培训演练落实情况、应急响应时效等。对未达到本要求规定的组织架构设置标准、未履行消防管理职责导致消防安全隐患或事故的，甲方有权依据合同约定扣减服务费用、要求限期整改；情节严重的，甲方可单方面解除服务合同，并追究乙方相应的经济赔偿及法律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3.2岗位设置及职责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统筹落实甲方消防安全管理制度及招标要求，制定乙方消防管理年度工作计划、培训计划及应急演练方案，组织团队完成消防服务各项任务。</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负责乙方消防管理团队的日常管理、排班调度及绩效考核，确保各岗位人员足额在岗，队伍稳定性符合要求，非特殊原因人员轮换比例不超过月度在岗人数的10%。</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建立与甲方保卫科的常态化沟通机制，每月至少召开1次消防工作对接会，定期汇报消防巡查、隐患整改、培训演练等工作开展情况；重大消防安全隐患或突发事件须在10分钟内上报甲方。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组织开展消防业务培训及应急演练，每月至少组织1次消防技能专项培训，每半年配合甲方完成1次全要素灭火及应急疏散演练，重点强化特殊人群疏散引导流程的实操训练。</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火灾事故发生时，作为乙方应急指挥第一责任人，立即启动内部应急响应，统筹协调各专项小组开展初起火灾扑救、人员疏散引导等工作，配合甲方及消防救援部门实施救援。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3.3工作流程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（1）每班人数：消防控制室值班人员每班不得少于2人，以确保在紧急情况下有足够的人力进行处置，避免因一人操作不当导致的严重后果。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（2）岗位分工：其中一人负责自动消防系统的操作，另一人负责值班时报警部位的核实和紧急情况的处置。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（3）工作时间：每班工作时间不应大于8小时，以保障值班人员的身心健康和工作效率。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（4）值班制度：实行每日24小时专人值班制度，确保及时发现并准确处置火灾和故障报警。值班人员应坚守岗位，不得擅离职守。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（5）实时监控：值班人员应实时监控火灾自动报警系统、消防联动控制系统等设备的运行状态，确保系统正常运行。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（6）报警处置：及时确认和处理火灾报警信号，按照应急预案进行响应，携带通讯工具尽快到场核实报警情况。</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（7）设备操作与故障排除：熟练掌握消防设备的操作方法，在需要时进行操作；发现设备故障时，及时采取措施进行排除或通知相关人员进行维修。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记录工作：做好值班记录，包括系统运行情况、报警处理情况等，确保记录真实、清晰。</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（9）消防巡查：定期进行消防设施的巡查，确保其正常工作。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（10）交接班要求：值班人员应按时上岗，并做好交接班工作。接班人员未到岗前，交班人员不得擅自离岗。交接班时应详细交代设备运行情况和注意事项。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（11）培训与学习：值班人员应参加消防培训，提高业务水平。掌握火警处置及启动消防设施设备的程序和方法，确保及时发现并准确处理火灾和故障报警。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（12）遵守操作规程：值班人员应严格遵守消防控制室的各项安全操作规程和各项消防安全管理制度。</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（13）保密与安全管理：值班人员应保守消防控制室的秘密，不得随意泄露相关信息。同时，应做好消防控制室的安全管理工作，防止无关人员进入。</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3.4服务标准及管理制度要求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3.4.1核心服务标准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乙方须严格按照以下量化标准提供保安服务，覆盖门卫值守、巡逻防控、消防服务、应急处置、秩序维护等全流程，确保服务质量达标、响应及时、处置高效。</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（一）门卫值守服务标准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入管控：严格执行人员、车辆准入管理，对进入医院的外来人员、车辆进行询问、验证、登记，禁止携带易燃易爆、管制刀具等危险物品进入院区；对住院患者及陪护人员进行身份核查，引导有序进入，高峰期（7:30-9:30、14:00-16:00）开诊前20分钟可引导患者有序进入，避免拥堵。</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规范：值守时统一着装、佩戴全国统一保安标识，姿态端正、文明执勤；主动为就诊人员提供咨询引导服务，耐心解答疑问；维护门岗周边秩序，严禁小摊小贩违规设点、出租车占道载客，确保出入口整洁、畅通。</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应急响应：接到院内紧急呼叫或发现异常情况时，1分钟内抵达现场处置，无法处置的立即上报并联系相关部门。</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（二）巡逻防控服务标准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逻路线与频次：依据医院风险等级划分巡逻区域，核心区（急诊室、ICU、新生儿科、药房、收费处、氧气站）每1小时巡查1次；次核心区（门诊各楼层、住院部病房走廊、电梯间）每2小时巡查1次；外围区（停车场、围墙周边、设备机房）每3小时巡查1次；夜间（22:00-次日6:00）整体频次提升30%，核心区每40分钟巡查1次。</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查内容：重点检查疏散通道、安全出口是否畅通，消防设施设备是否完好，公共区域有无可疑人员、违规行为（如违规吸烟、散发非法广告）；下班后清理楼内无关人员，检查门窗关闭、水电关闭情况，防止公物损坏或被盗。</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记录与反馈：使用甲方指定的智慧安防系统记录巡逻轨迹、巡查情况，每日提交巡逻日志；发现安全隐患或异常情况及时处置并上报，确保问题闭环管理。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（三）秩序维护服务标准</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诊疗秩序维护：重点维护门诊大厅、候诊区、缴费窗口等人员密集区域秩序，引导患者有序排队，制止插队、喧哗等行为；对独自就诊的老年患者、儿童提供必要协助，保障诊疗流程顺畅。</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车辆秩序维护：引导停车场区域以外的车辆有序停放，严禁占用消防通道、急救通道；定时巡查停放车辆，发现损坏及时拍照并告知车主，做好记录。</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重点管控：严厉打击“医托”“医闹”及散发非法医疗广告人员，发现后立即制止并驱离，情节严重的报警处理，确保医院诊疗环境不受干扰。</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3.4.2配套管理制度要求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乙方须建立健全以下消防安全管理制度，确保保安服务工作有章可循、规范有序，制度文本需在中标后15日内报甲方保卫科备案。</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（一）人员管理与培训制度</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准入管理：建立完善的人员筛选机制，确保所有人员无违法犯罪记录、无传染病及精神类疾病病史；提供无犯罪记录证明、体检报告，建立人员档案并报甲方备案；保安队长拥有2年及以上单位安保管理经验，未经甲方同意不得擅自更换，确需更换的须提前1个月书面报备，且继任者资质不低于前任。</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岗前培训：所有人员上岗前须接受不少于264课时的专项培训，内容涵盖医院消防安全制度、消防设施使用、特殊人群疏散引导、应急处置流程、感染防控基本措施等，经理论考试及实操考核合格后方可上岗。</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态化培训：每月组织1次消防技能专项培训，每季度开展1次消防安全知识更新培训；每年组织不少于2次应急处置演练，重点演练特殊人群疏散转运流程；培训及演练须留存签到表、课件、视频等完整记录，每年对在岗人员开展1次由资质机构组织的心理测试，建立心理健康档案。</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（二）值班值守与交接班制度</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所有岗位人员严格遵守24小时值守要求，不脱岗、睡岗、替岗；值班期间密切关注岗位动态，及时处理各类事项，做好值班记录。</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交接班规范：提前10分钟到达交接地点，逐项核查岗位装备、设施状态、未处置事项等，填写《安保值班交接记录表》，双方签字确认后完成交接；确保交接信息完整、准确，避免工作脱节。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人员报备：值班人员名单及联系方式提前报甲方保卫科备案；人员调整时，提前3天书面报备甲方，确保值班工作连续性。</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（三）装备管理与维护制度</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装备配置：按标准为各岗位配备对讲机、防暴装备、执法记录仪、安检设备等，门诊、急症室等人员密集部位值守人员额外配备防暴头盔、防刺服、防暴盾牌等装备，所有装备符合GA 68、GA 422等相关标准要求。</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日常维护：建立装备管理台账，每日交接班时检查装备性能，确保完好可用；定期对装备进行维护、保养、更新，执法记录仪数据每日导出存档，保存期限不少于90天；装备未使用时定点存放，便于快速取用。</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责任追究：因管理不善导致装备损坏、丢失的，乙方须承担相应赔偿责任；严禁违规使用装备，确保装备使用合规、安全。</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（四）档案管理制度</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档案范围：建立健全保安服务档案体系，涵盖人员档案、值班记录、巡逻记录、隐患整改记录、培训演练记录、应急处置记录、装备管理台账等各类资料。</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管理要求：档案资料真实、完整、规范，填写清晰、签字齐全；纸质档案分类存放、妥善保管，保存期限不少于5年；电子档案定期备份，确保可追溯；每月向甲方提交1次档案汇总报告。</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查阅管理：建立档案查阅审批制度，甲方及相关监管部门查阅时提供便利并做好记录；未经甲方同意，不得向第三方泄露档案信息。</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（五）隐患排查与整改制度</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隐患分级：将发现的安全隐患分为立即整改类、限期整改类（7日内）、长期优化类，明确各类隐患的处置流程及责任主体。</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闭环管理：对巡查发现的隐患及时登记建档，下达整改通知，明确整改时限及措施；整改完成后组织验收，合格后方可销号；逾期未整改的升级上报并追究相关人员责任，每周对隐患整改情况进行复查，防止反弹。</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报告机制：每月向甲方提交1次隐患排查治理总结报告，重大安全隐患须在10分钟内立即上报甲方。</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4、应急处置方案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方案包括但不限于①本项目可能发生的突发事件的分析、②突发事件的处理流程、③突发事件的演练计划等内容。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4.1本项目可能发生的突发事件的分析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本项目可能发生的突发事件主要分为以下五大类，具体分析如下：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（1）医患纠纷类突发事件；（2）治安安全类突发事件；（3）消防安全类突发事件；（4）公共卫生类突发事件；（5）极端天气及其他突发事件。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4.2突发事件的处理流程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预警接收-快速响应-现场处置-后续跟进”的全流程突发事件处理机制，明确各环节责任分工、处置要求，确保响应及时、处置规范。所有突发事件处置需遵循“生命至上、优先保障妇幼安全、快速控制事态、协同联动处置”的原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(一)一般情况处置流程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预警接收与信息上报：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安保人员通过巡逻发现、监控值守察觉、医患人员求助、医院科室通报等渠道获取突发事件信息后，立即通过对讲机向监控中心及现场项目经理上报。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上报内容需明确事件类型、发生地点、涉及人员、事态严重程度等核心信息；重大突发事件（如暴力伤医、火灾、大面积停电等）需在1分钟内口头通知招标人后勤保障部门，30分钟内提交书面报告。</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快速响应与人员调配：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监控中心接到上报后，立即启动相应等级应急响应，通过对讲机调度就近安保人员、应急突击队赶赴现场，同时通知服务商值班领导及相关部门。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件规模及处置需求，协调医院医务科、护理部、院感科、工程科等相关科室联动处置；必要时协助招标人拨打110、119等应急电话，对接外部救援力量。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现场处置与事态控制：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安保人员抵达现场后，首先设置警戒区域，疏散围观人员，保障应急通道畅通，优先引导孕妇、婴幼儿、老年人等弱势群体转移至安全区域。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根据事件类型采取针对性处置措施（具体见专项处置流程），避免事态扩大，同时做好现场秩序维护，保护现场证据（如监控录像、现场痕迹等）。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后续跟进与总结：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事件处置完成后，安保人员清理现场，协助恢复正常诊疗秩序；对受伤人员，协助医护人员开展救治工作。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中本人组织相关人员复盘事件处置过程，梳理处置工作中的亮点与不足，分析事件诱因，制定改进措施，形成《突发事件处置总结报告》提交招标人备案。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（二）专项处置流程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医患纠纷类突发事件处置流程：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立即隔离纠纷双方，拉开安全距离，制止过激行为（如辱骂、推搡、殴打），安抚双方情绪，告知需通过合法途径解决问题。</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疏散周边围观群众，设置警戒区域，保障诊疗通道畅通，避免影响其他患者就诊。</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配合医院医务科、医患沟通办公室工作人员开展调解工作，如实记录事件经过，保护现场证据，协助调取监控资料。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若发生暴力伤医、打砸设备等恶性行为，立即组织应急突击队采取强制措施控制涉事人员，必要时移交公安机关处理，同时协助救治受伤人员、保护医院财产。</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治安安全类突发事件处置流程：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盗窃、抢夺事件：立即锁定嫌疑人特征及逃跑方向，组织安保人员围堵拦截，同时拨打110报警；保护现场痕迹，协助公安机关开展调查取证工作；对受害人员进行安抚，登记损失情况。</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非法闯入核心区域事件：立即上前阻拦，核实身份信息，禁止无关人员进入；若涉事人员拒不配合，组织安保人员强制带离，必要时移交公安机关；同时核查核心区域人员及物资安全，确保无安全隐患。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走失事件：立即上报项目经理，调取监控录像排查走失人员行踪，组织安保人员在医院各区域开展搜寻；同时协助家属填写走失人员信息，通过医院广播、公告等方式发布寻人信息；找到走失人员后，核实身份信息并通知家属，确保人员安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消防安全类突发事件处置流程：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立即拨打119报警，同时通知医院消防控制室及工程科，启动消防应急预案。</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组织安保人员使用就近消防设施扑救初期火灾，控制火势蔓延；若火势较大，优先组织人员疏散，尤其保障危重患者、产妇、新生儿的安全转移。</w:t>
      </w:r>
      <w:r/>
    </w:p>
    <w:p>
      <w:pPr>
        <w:ind w:left="0" w:right="0" w:firstLine="480"/>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引导消防车辆进入现场，协助消防人员开展灭火救援工作，提供医院消防设施布局、起火位置等相关信息。</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火灾扑灭后，保护火灾现场，协助公安机关消防部门开展火灾原因调查。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公共卫生类突发事件处置流程： </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立即通知医院院感科，引导发热患者或疑似感染者至临时隔离点，避免与其他人员接触，同时做好个人防护（佩戴口罩、手套等）。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对事件发生区域（如候诊区、诊室）设置警戒标识，协助院感科开展环境消杀工作。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维护现场秩序，引导其他患者有序分流至其他诊疗区域，避免人员聚集引发交叉感染。</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配合院感科开展人员流调、信息登记等工作，协助落实疫情防控相关措施。</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4.3突发事件演练要求</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（一）演练目标</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提升安保人员对各类突发事件的识别能力、响应速度及处置技能，确保熟练</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掌握应急处置流程及相关设备使用方法。</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强化与医院各科室及外部应急救援力量的协同联动能力，提升整体应急处置</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效率。</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检验应急预案的科学性、可行性，及时发现并弥补预案漏洞，优化应急处置</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流程。</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增强安保人员及医患人员的安全防范意识，营造“人人懂安全、人人会应急”</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的良好氛围。</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（二）演练频率与类型</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季度综合应急演练：每季度至少开展1次，演练内容覆盖医患纠纷处置、火灾</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应急疏散、公共卫生事件应对等核心突发事件类型，演练规模为全院性或多科室联动演练。</w:t>
      </w:r>
      <w:r/>
    </w:p>
    <w:p>
      <w:pPr>
        <w:ind w:left="479" w:right="0" w:firstLine="0"/>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月度专项应急演练：每月至少开展1次，针对单一类型突发事件（如电梯困</w:t>
      </w:r>
      <w:r>
        <w:rPr>
          <w:rFonts w:ascii="Times New Roman" w:hAnsi="Times New Roman" w:eastAsia="Times New Roman" w:cs="Times New Roman"/>
          <w:sz w:val="22"/>
        </w:rPr>
      </w:r>
      <w:r/>
    </w:p>
    <w:p>
      <w:pPr>
        <w:ind w:left="0" w:right="0" w:firstLine="0"/>
        <w:spacing w:before="0" w:after="0" w:line="51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rPr>
          <w:rFonts w:ascii="SimSun" w:hAnsi="SimSun" w:eastAsia="SimSun" w:cs="SimSun"/>
          <w:color w:val="000000"/>
          <w:sz w:val="24"/>
        </w:rPr>
        <w:t xml:space="preserve">盗窃事件、发热患者处置等）开展专项演练，重点强化特定场景下的应急处置技能。</w:t>
      </w:r>
      <w:r>
        <w:rPr>
          <w:rFonts w:ascii="Times New Roman" w:hAnsi="Times New Roman" w:eastAsia="Times New Roman" w:cs="Times New Roman"/>
          <w:sz w:val="22"/>
          <w:szCs w:val="22"/>
        </w:rPr>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重点区域专项演练：每半年针对新生儿科、急诊区、产房等核心敏感区域开展</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1次专项应急演练，提升人员在特殊场景下的应急处置能力。</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（三）演练组织与实施</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演练准备： </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演练前10个工作日，服务商制定详细的演练方案，明确演练主题、时间、地</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点、参与人员、角色分工、演练流程、评估标准等内容，提交招标人相关部门审核。</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演练前3个工作日，完成演练场地布置、应急设备准备（如防暴器材、消防器</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材、急救箱、应急照明设备等）、人员培训等工作，同时向医院相关科室及参与人员传达演练安排。</w:t>
      </w:r>
      <w:r/>
    </w:p>
    <w:p>
      <w:pPr>
        <w:ind w:left="479" w:right="0" w:firstLine="0"/>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必要时在医院内部发布演练公告，告知医患人员演练相关信息，避免引发恐</w:t>
      </w:r>
      <w:r>
        <w:rPr>
          <w:rFonts w:ascii="Times New Roman" w:hAnsi="Times New Roman" w:eastAsia="Times New Roman" w:cs="Times New Roman"/>
          <w:sz w:val="22"/>
        </w:rPr>
      </w:r>
      <w:r/>
    </w:p>
    <w:p>
      <w:pPr>
        <w:ind w:left="0" w:right="0" w:firstLine="0"/>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慌。</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演练实施： </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演练由服务商项目总负责人统筹指挥，按演练方案设定的场景逐步推进，模拟</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突发事件的发现、上报、响应、处置等全流程。</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演练过程中，安排专人负责现场协调、安全保障及演练记录（包括文字、图片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视频记录），确保演练规范、安全开展。</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演练参与人员严格按照角色分工开展工作，真实模拟应急处置流程，提升实战</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能力。</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演练评估与总结： </w:t>
      </w:r>
      <w:r/>
    </w:p>
    <w:p>
      <w:pPr>
        <w:ind w:left="479" w:right="0" w:firstLine="0"/>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演练结束后，</w:t>
      </w:r>
      <w:r>
        <w:rPr>
          <w:rFonts w:ascii="SimSun" w:hAnsi="SimSun" w:eastAsia="SimSun" w:cs="SimSun"/>
          <w:color w:val="000000"/>
          <w:sz w:val="24"/>
        </w:rPr>
        <w:t xml:space="preserve">对演练过程进行评估，重点评估响应速度、处置流程规范性、协</w:t>
      </w:r>
      <w:r>
        <w:rPr>
          <w:rFonts w:ascii="Times New Roman" w:hAnsi="Times New Roman" w:eastAsia="Times New Roman" w:cs="Times New Roman"/>
          <w:sz w:val="22"/>
        </w:rPr>
      </w:r>
      <w:r/>
    </w:p>
    <w:p>
      <w:pPr>
        <w:ind w:left="0" w:right="0" w:firstLine="0"/>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同联动效率、应急设备使用熟练度等指标，形成《演练评估报告》。</w:t>
      </w:r>
      <w:r>
        <w:rPr>
          <w:rFonts w:ascii="Times New Roman" w:hAnsi="Times New Roman" w:eastAsia="Times New Roman" w:cs="Times New Roman"/>
          <w:sz w:val="22"/>
        </w:rPr>
      </w:r>
      <w:r/>
    </w:p>
    <w:p>
      <w:pPr>
        <w:ind w:left="479" w:right="0" w:firstLine="0"/>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召开演练总结会，通报评估结果，梳理演练过程中存在的问题，分析问题根</w:t>
      </w:r>
      <w:r>
        <w:rPr>
          <w:rFonts w:ascii="SimSun" w:hAnsi="SimSun" w:eastAsia="SimSun" w:cs="SimSun"/>
          <w:color w:val="000000"/>
          <w:sz w:val="24"/>
          <w:szCs w:val="24"/>
        </w:rPr>
      </w:r>
      <w:r/>
    </w:p>
    <w:p>
      <w:pPr>
        <w:ind w:left="0" w:right="0" w:firstLine="0"/>
        <w:spacing w:before="0" w:after="0" w:line="51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源，</w:t>
      </w:r>
      <w:r>
        <w:rPr>
          <w:rFonts w:ascii="SimSun" w:hAnsi="SimSun" w:eastAsia="SimSun" w:cs="SimSun"/>
          <w:color w:val="000000"/>
          <w:sz w:val="24"/>
        </w:rPr>
        <w:t xml:space="preserve">制定针对性的改进措施，优化应急预案及演练计划。</w:t>
      </w:r>
      <w:r>
        <w:rPr>
          <w:rFonts w:ascii="SimSun" w:hAnsi="SimSun" w:eastAsia="SimSun" w:cs="SimSun"/>
          <w:color w:val="000000"/>
          <w:sz w:val="24"/>
          <w:szCs w:val="24"/>
          <w:highlight w:val="none"/>
        </w:rPr>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将演练方案、演练记录、评估报告、总结报告等材料整理成册，提交招标人备</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案。</w:t>
      </w:r>
      <w:r/>
    </w:p>
    <w:p>
      <w:pPr>
        <w:ind w:left="479"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5、培训方案要求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培训方案至少包含：①培训对象、②培训时间和次数、③培训内容、</w:t>
      </w:r>
      <w:r>
        <w:rPr>
          <w:rFonts w:ascii="FangSong" w:hAnsi="FangSong" w:eastAsia="FangSong" w:cs="FangSong"/>
          <w:color w:val="000000"/>
          <w:sz w:val="24"/>
        </w:rPr>
        <w:t xml:space="preserve">④</w:t>
      </w:r>
      <w:r>
        <w:rPr>
          <w:rFonts w:ascii="SimSun" w:hAnsi="SimSun" w:eastAsia="SimSun" w:cs="SimSun"/>
          <w:color w:val="000000"/>
          <w:sz w:val="24"/>
        </w:rPr>
        <w:t xml:space="preserve">培训方式等。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5.1培训对象要求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方案覆盖派驻医院的所有保安人员，确保培训精准适配不同岗位履职要求：</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1、所有拟派驻医院的新保安人员，需完成岗前培训并考核合格后方可上岗。</w:t>
      </w:r>
      <w:r/>
    </w:p>
    <w:p>
      <w:pPr>
        <w:ind w:left="0" w:right="0" w:firstLine="0"/>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一线安保人员（入口值守岗、巡逻岗、监控岗、停车场管理岗等），需参与常态化在岗培训及应急演练，持续提升服务能力。</w:t>
      </w:r>
      <w:r>
        <w:rPr>
          <w:rFonts w:ascii="Times New Roman" w:hAnsi="Times New Roman" w:eastAsia="Times New Roman" w:cs="Times New Roman"/>
          <w:sz w:val="22"/>
        </w:rPr>
      </w:r>
      <w:r/>
    </w:p>
    <w:p>
      <w:pPr>
        <w:ind w:left="0" w:right="0" w:firstLine="0"/>
        <w:spacing w:before="0" w:after="0" w:line="51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w:t>
      </w:r>
      <w:r>
        <w:rPr>
          <w:rFonts w:ascii="SimSun" w:hAnsi="SimSun" w:eastAsia="SimSun" w:cs="SimSun"/>
          <w:color w:val="000000"/>
          <w:sz w:val="24"/>
        </w:rPr>
        <w:t xml:space="preserve">、</w:t>
      </w:r>
      <w:r>
        <w:rPr>
          <w:rFonts w:ascii="SimSun" w:hAnsi="SimSun" w:eastAsia="SimSun" w:cs="SimSun"/>
          <w:color w:val="000000"/>
          <w:sz w:val="24"/>
        </w:rPr>
        <w:t xml:space="preserve">管理及骨干人员：包括项目总负责人、项目经理、安全主管、安保班长、应急突击队成员等，需额外参与管理技能、专项应急处置等进阶培训，强化统筹协调及应急指挥能力。</w:t>
      </w:r>
      <w:r>
        <w:rPr>
          <w:rFonts w:ascii="Times New Roman" w:hAnsi="Times New Roman" w:eastAsia="Times New Roman" w:cs="Times New Roman"/>
          <w:sz w:val="22"/>
        </w:rPr>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5.2培训时间和次数</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1、月度常规培训：每月开展1次集中培训，全员参与，单次培训时长不少于2小时。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2、季度专项培训：每季度开展1次专项培训，针对医院阶段性安全重点（如节假日安保、疫情防控升级、大型诊疗活动保障等）设置培训主题，全员参与，单次培训时长不少于2小时。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演练：每季度开展1次综合应急演练，每月开展1次单项应急演练（如医患纠纷处置、火灾疏散、电梯困人救援等），全员参与；每半年针对新生儿科、急诊区等核心敏感区域开展1次专项应急演练，相关区域安保人员必须参与。</w:t>
      </w:r>
      <w:r/>
    </w:p>
    <w:p>
      <w:pPr>
        <w:ind w:left="0" w:right="0" w:firstLine="480"/>
        <w:spacing w:before="0" w:after="0" w:line="51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5.3培训内容</w:t>
      </w:r>
      <w:r>
        <w:rPr>
          <w:b/>
          <w:bCs/>
        </w:rPr>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（1）保安守护：保安守护的特点和内容；保安守护的岗位要求和勤务制度。保安巡逻与控制：保安区域巡逻；人员聚集场所保安巡逻；保安人群控制；公安机关实施保安服务管理条例办法。</w:t>
      </w:r>
      <w:r/>
    </w:p>
    <w:p>
      <w:pPr>
        <w:ind w:left="0" w:right="0" w:firstLine="480"/>
        <w:spacing w:before="0" w:after="0" w:line="519"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rPr>
        <w:t xml:space="preserve">）</w:t>
      </w:r>
      <w:r>
        <w:rPr>
          <w:rFonts w:ascii="SimSun" w:hAnsi="SimSun" w:eastAsia="SimSun" w:cs="SimSun"/>
          <w:color w:val="000000"/>
          <w:sz w:val="24"/>
        </w:rPr>
        <w:t xml:space="preserve">保安巡逻与控制技能：保安区域巡逻技能；人员聚集场所巡逻技能；保安人群控制技能。保安人力防范技能：保安人力防范方案与发展计划的实施；保安人力防范服务方案与发展计划的制订。保安技术防范技能：技术防范设施的使用；技术防范方案的制订。保安员培训教学大纲（试行）。</w:t>
      </w:r>
      <w:r>
        <w:rPr>
          <w:rFonts w:ascii="Times New Roman" w:hAnsi="Times New Roman" w:eastAsia="Times New Roman" w:cs="Times New Roman"/>
          <w:sz w:val="22"/>
        </w:rPr>
      </w:r>
      <w:r/>
    </w:p>
    <w:p>
      <w:pPr>
        <w:ind w:left="0" w:right="0" w:firstLine="480"/>
        <w:spacing w:before="0" w:after="0" w:line="519"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rPr>
        <w:t xml:space="preserve">）</w:t>
      </w:r>
      <w:r>
        <w:rPr>
          <w:rFonts w:ascii="SimSun" w:hAnsi="SimSun" w:eastAsia="SimSun" w:cs="SimSun"/>
          <w:color w:val="000000"/>
          <w:sz w:val="24"/>
        </w:rPr>
        <w:t xml:space="preserve">保安员的基本技能：基本体能与防卫技能；现场急救技能；消防技能；现场保护技能；保安员应掌握的其他技能。保安门卫技能：保安门卫的方法；保安门卫紧急情况的处置；保安门卫方案与预案的制订。保安守护技能：保安守护的实施；保安守护方案与预案的制订。保安员国家职业标准。</w:t>
      </w:r>
      <w:r>
        <w:rPr>
          <w:rFonts w:ascii="Times New Roman" w:hAnsi="Times New Roman" w:eastAsia="Times New Roman" w:cs="Times New Roman"/>
          <w:sz w:val="22"/>
        </w:rPr>
      </w:r>
      <w:r/>
    </w:p>
    <w:p>
      <w:pPr>
        <w:ind w:left="0" w:right="0" w:firstLine="480"/>
        <w:spacing w:before="0" w:after="0" w:line="519" w:lineRule="atLeast"/>
        <w:rPr>
          <w:b/>
          <w:bCs/>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4"/>
        </w:rPr>
        <w:t xml:space="preserve">5.4培训方式</w:t>
      </w:r>
      <w:r>
        <w:rPr>
          <w:b/>
          <w:bCs/>
        </w:rPr>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采用“理论与实操结合、线上与线下互补、常规与模拟并重”的多元化培训方式，提升培训效果，确保人员能够学以致用：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（一）理论授课类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（1）线下集中授课：邀请行业专家、医院相关部门负责人、服务商内部骨干开展线下集中教学，通过PPT讲解、案例分析、政策解读等方式，系统传授法律法规、规章制度、安全认知等理论知识。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线上自主学习：搭建线上学习平台，上传培训课件、政策文件、案例视频等学习资料，供人员利用碎片化时间自主学习；定期发布学习任务，跟踪学习进度，确保学习效果。</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（二）实操演练类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（1）岗位实操训练：在医院实际岗位场景中，演示岗位操作流程及技巧，让保安员模拟操作，现场纠正不规范行为，确保熟练掌握岗位技能。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（2）设备操作实训：集中组织应急设备、监控设备、消防器材等实操训练，安排专业人员现场指导，确保每人都能独立、规范使用相关设备。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（三）模拟演练类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（1）场景模拟演练：模拟医患纠纷、火灾疏散、发热患者处置等常见突发事件场景，组织人员分组扮演不同角色，按处置流程开展实战化演练，提升临场应变能力。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综合联动演练：联合医院医务科、护理部、工程科、院感科等相关科室开展综合应急演练，模拟复杂突发事件处置过程，强化跨部门协同联动能力。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（四）案例研讨类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案例复盘会：每月组织典型案例复盘会，围绕工作中遇到的突发事件、服务纠纷、安全隐患等案例，开展集中讨论，分析问题根源，总结处置经验及教训，优化处置流程。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（2）经验分享会：邀请优秀在岗人员分享岗位工作经验、服务技巧及应急处置心得，促进人员之间相互学习、共同提升。</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九、采购标的对应的中小企业划分标准所属行业一览表</w:t>
      </w:r>
      <w:r/>
    </w:p>
    <w:tbl>
      <w:tblPr>
        <w:tblStyle w:val="7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59"/>
        <w:gridCol w:w="4996"/>
      </w:tblGrid>
      <w:tr>
        <w:trPr>
          <w:trHeight w:val="6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对应中小企业划分标准所属行业</w:t>
            </w: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保安服务</w:t>
            </w: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6"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rPr>
                <w:rFonts w:ascii="Calibri" w:hAnsi="Calibri" w:eastAsia="Calibri" w:cs="Calibri"/>
                <w:color w:val="000000"/>
                <w:sz w:val="24"/>
              </w:rPr>
              <w:t xml:space="preserve"> </w:t>
            </w:r>
            <w:r/>
          </w:p>
        </w:tc>
      </w:tr>
    </w:tbl>
    <w:p>
      <w:pPr>
        <w:pStyle w:val="984"/>
        <w:jc w:val="center"/>
        <w:spacing w:beforeAutospacing="0" w:afterAutospacing="0"/>
        <w:rPr>
          <w:rFonts w:hint="eastAsia" w:ascii="黑体" w:hAnsi="黑体" w:eastAsia="黑体" w:cs="黑体"/>
          <w:b w:val="0"/>
          <w:bCs w:val="0"/>
          <w:color w:val="auto"/>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rPr>
          <w:highlight w:val="none"/>
        </w:rPr>
      </w:r>
      <w:r>
        <w:rPr>
          <w:highlight w:val="none"/>
        </w:rPr>
      </w:r>
      <w:r/>
    </w:p>
    <w:p>
      <w:pPr>
        <w:pStyle w:val="984"/>
        <w:jc w:val="center"/>
        <w:spacing w:beforeAutospacing="0" w:afterAutospacing="0"/>
        <w:rPr>
          <w:highlight w:val="none"/>
        </w:rPr>
        <w:outlineLvl w:val="0"/>
      </w:pPr>
      <w:r/>
      <w:bookmarkStart w:id="12" w:name="_Toc28340"/>
      <w:r>
        <w:rPr>
          <w:rFonts w:hint="eastAsia" w:ascii="黑体" w:hAnsi="黑体" w:eastAsia="黑体" w:cs="黑体"/>
          <w:b w:val="0"/>
          <w:bCs w:val="0"/>
          <w:color w:val="auto"/>
          <w:sz w:val="44"/>
          <w:szCs w:val="44"/>
          <w:highlight w:val="none"/>
        </w:rPr>
        <w:t xml:space="preserve">第五章 评标方法与评标标准</w:t>
      </w:r>
      <w:bookmarkEnd w:id="12"/>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一、定标原则</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本项目采用</w:t>
      </w:r>
      <w:r>
        <w:rPr>
          <w:rFonts w:hint="eastAsia" w:ascii="宋体" w:hAnsi="宋体" w:eastAsia="宋体" w:cs="宋体"/>
          <w:color w:val="auto"/>
          <w:sz w:val="24"/>
          <w:szCs w:val="24"/>
          <w:highlight w:val="none"/>
          <w:u w:val="single"/>
          <w:lang w:val="zh-CN" w:eastAsia="zh-CN"/>
        </w:rPr>
        <w:t xml:space="preserve">综合评分</w:t>
      </w:r>
      <w:r>
        <w:rPr>
          <w:rFonts w:hint="eastAsia" w:ascii="宋体" w:hAnsi="宋体" w:eastAsia="宋体" w:cs="宋体"/>
          <w:color w:val="auto"/>
          <w:sz w:val="24"/>
          <w:szCs w:val="24"/>
          <w:highlight w:val="none"/>
          <w:lang w:val="zh-CN" w:eastAsia="zh-CN"/>
        </w:rPr>
        <w:t xml:space="preserve">法。</w:t>
      </w:r>
      <w:r>
        <w:rPr>
          <w:rFonts w:hint="eastAsia" w:ascii="宋体" w:hAnsi="宋体" w:eastAsia="宋体" w:cs="宋体"/>
          <w:color w:val="auto"/>
          <w:sz w:val="24"/>
          <w:szCs w:val="24"/>
          <w:highlight w:val="none"/>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政府采购政策功能落实</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1、小微型企业价格扣除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（1）本项目专门面向中小企业采购，不再对小型和微型企业报价给予价格扣除。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（2）供应商需按照采购文件的要求提供相应的《中小企业声明函》。</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（3）企业标准请参照《关于印发中小企业划型标准规定的通知》（工信部联企业〔2011〕300号）文件规定自行填写。</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2、残疾人福利单位价格扣除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（1）本项目对残疾人福利性单位视同小型、微型企业。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3、监狱和戒毒企业价格扣除</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4、残疾人福利单位、监狱企业属于小型、微型企业的，不重复享受政策。</w:t>
      </w:r>
      <w:r/>
    </w:p>
    <w:p>
      <w:pPr>
        <w:ind w:firstLine="480"/>
        <w:jc w:val="left"/>
        <w:keepLines w:val="0"/>
        <w:keepNext w:val="0"/>
        <w:pageBreakBefore w:val="0"/>
        <w:spacing w:line="520" w:lineRule="exact"/>
        <w:widowControl w:val="off"/>
        <w:rPr>
          <w:rFonts w:hint="eastAsia" w:ascii="宋体" w:hAnsi="宋体" w:eastAsia="宋体" w:cs="宋体"/>
          <w:color w:val="000000" w:themeColor="text1"/>
          <w:sz w:val="24"/>
          <w:szCs w:val="20"/>
          <w:highlight w:val="white"/>
          <w14:textFill>
            <w14:solidFill>
              <w14:schemeClr w14:val="tx1"/>
            </w14:solidFill>
          </w14:textFill>
        </w:rPr>
      </w:pPr>
      <w:r>
        <w:rPr>
          <w:rFonts w:hint="eastAsia" w:ascii="宋体" w:hAnsi="宋体" w:eastAsia="宋体" w:cs="宋体"/>
          <w:color w:val="auto"/>
          <w:sz w:val="24"/>
          <w:szCs w:val="24"/>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lang w:val="en-US" w:eastAsia="zh-CN"/>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szCs w:val="20"/>
          <w:highlight w:val="white"/>
          <w14:textFill>
            <w14:solidFill>
              <w14:schemeClr w14:val="tx1"/>
            </w14:solidFill>
          </w14:textFill>
        </w:rPr>
        <w:t xml:space="preserve">。</w:t>
      </w:r>
      <w:r>
        <w:rPr>
          <w:rFonts w:hint="eastAsia" w:ascii="宋体" w:hAnsi="宋体" w:eastAsia="宋体" w:cs="宋体"/>
          <w:color w:val="auto"/>
          <w:sz w:val="24"/>
          <w:szCs w:val="24"/>
          <w:highlight w:val="none"/>
          <w:lang w:val="en-US" w:eastAsia="zh-CN"/>
        </w:rPr>
        <w:t xml:space="preserve">其他条件相同情况下，应当优先采购节能产品、环境标志产品。</w:t>
      </w:r>
      <w:r/>
    </w:p>
    <w:p>
      <w:pPr>
        <w:ind w:firstLine="480"/>
        <w:jc w:val="left"/>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二、评标方法与评标标准</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本项目评分总分值为100分。</w:t>
      </w:r>
      <w:r/>
    </w:p>
    <w:tbl>
      <w:tblPr>
        <w:tblStyle w:val="769"/>
        <w:tblW w:w="904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857"/>
        <w:gridCol w:w="6306"/>
        <w:gridCol w:w="1400"/>
      </w:tblGrid>
      <w:tr>
        <w:trPr>
          <w:trHeight w:val="733"/>
        </w:trPr>
        <w:tc>
          <w:tcPr>
            <w:gridSpan w:val="2"/>
            <w:tcW w:w="1341"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评审项目</w:t>
            </w:r>
            <w:r/>
          </w:p>
        </w:tc>
        <w:tc>
          <w:tcPr>
            <w:tcW w:w="6306"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评审标准</w:t>
            </w:r>
            <w:r/>
          </w:p>
        </w:tc>
        <w:tc>
          <w:tcPr>
            <w:tcW w:w="140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分值</w:t>
            </w:r>
            <w:r/>
          </w:p>
        </w:tc>
      </w:tr>
      <w:tr>
        <w:trPr>
          <w:trHeight w:val="2531"/>
        </w:trPr>
        <w:tc>
          <w:tcPr>
            <w:gridSpan w:val="2"/>
            <w:tcW w:w="1341"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w:t>
            </w:r>
            <w:r/>
          </w:p>
        </w:tc>
        <w:tc>
          <w:tcPr>
            <w:tcW w:w="6306" w:type="dxa"/>
            <w:vAlign w:val="center"/>
            <w:textDirection w:val="lrTb"/>
            <w:noWrap/>
          </w:tcPr>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1.采用低价优先法，即满足招标文件要求且投标价格最低的有效投标报价为评标基准价，其价格分为满分。</w:t>
            </w:r>
            <w:r/>
          </w:p>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2.其他投标人的价格分统一按下列公式计算：投标报价得分为（评标基准价/投标报价）×50（小数点保留两位）。</w:t>
            </w:r>
            <w:r/>
          </w:p>
        </w:tc>
        <w:tc>
          <w:tcPr>
            <w:tcW w:w="140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50分</w:t>
            </w:r>
            <w:r/>
          </w:p>
        </w:tc>
      </w:tr>
      <w:tr>
        <w:trPr>
          <w:trHeight w:val="3989"/>
        </w:trPr>
        <w:tc>
          <w:tcPr>
            <w:gridSpan w:val="2"/>
            <w:tcW w:w="1341"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业绩</w:t>
            </w:r>
            <w:r/>
          </w:p>
        </w:tc>
        <w:tc>
          <w:tcPr>
            <w:tcW w:w="6306" w:type="dxa"/>
            <w:vAlign w:val="center"/>
            <w:textDirection w:val="lrTb"/>
            <w:noWrap/>
          </w:tcPr>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投标人自202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年1月1日以来（以合同签订时间为准）承担过类似项目业绩的，每有一项得2分，本项最高得6分。  </w:t>
            </w:r>
            <w:r/>
          </w:p>
          <w:p>
            <w:pPr>
              <w:ind w:firstLine="480"/>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备注：以投标人提供的有效的合同原件扫描件，合同中必须包含</w:t>
            </w:r>
            <w:r>
              <w:rPr>
                <w:rFonts w:hint="eastAsia" w:ascii="宋体" w:hAnsi="宋体" w:cs="宋体"/>
                <w:color w:val="auto"/>
                <w:sz w:val="24"/>
                <w:highlight w:val="none"/>
                <w:lang w:val="en-US" w:eastAsia="zh-CN"/>
              </w:rPr>
              <w:t xml:space="preserve">项目名称、</w:t>
            </w:r>
            <w:r>
              <w:rPr>
                <w:rFonts w:hint="eastAsia" w:ascii="宋体" w:hAnsi="宋体" w:eastAsia="宋体" w:cs="宋体"/>
                <w:color w:val="auto"/>
                <w:sz w:val="24"/>
                <w:highlight w:val="none"/>
              </w:rPr>
              <w:t xml:space="preserve">服务内容、合同签订时间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合同主体名称、双方签字盖章页</w:t>
            </w:r>
            <w:r>
              <w:rPr>
                <w:rFonts w:hint="eastAsia" w:ascii="宋体" w:hAnsi="宋体" w:eastAsia="宋体" w:cs="宋体"/>
                <w:color w:val="auto"/>
                <w:sz w:val="24"/>
                <w:highlight w:val="none"/>
              </w:rPr>
              <w:t xml:space="preserve">等信息计分，否则不计分。</w:t>
            </w:r>
            <w:r/>
          </w:p>
        </w:tc>
        <w:tc>
          <w:tcPr>
            <w:tcW w:w="140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r>
        <w:trPr>
          <w:trHeight w:val="7052"/>
        </w:trPr>
        <w:tc>
          <w:tcPr>
            <w:gridSpan w:val="2"/>
            <w:tcW w:w="1341"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资质信誉</w:t>
            </w:r>
            <w:r/>
          </w:p>
        </w:tc>
        <w:tc>
          <w:tcPr>
            <w:tcW w:w="6306" w:type="dxa"/>
            <w:vAlign w:val="center"/>
            <w:textDirection w:val="lrTb"/>
            <w:noWrap/>
          </w:tcPr>
          <w:p>
            <w:pPr>
              <w:ind w:firstLine="480"/>
              <w:jc w:val="both"/>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质量管理体系认证证书得1分；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取得国家认监委认可的机构颁发的有效期内</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color w:val="auto"/>
                <w:sz w:val="24"/>
                <w:highlight w:val="none"/>
              </w:rPr>
              <w:t xml:space="preserve">环境管理体系认证证书得1分；</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w:t>
            </w:r>
            <w:r>
              <w:rPr>
                <w:rFonts w:hint="eastAsia" w:ascii="宋体" w:hAnsi="宋体" w:eastAsia="宋体" w:cs="宋体"/>
                <w:color w:val="auto"/>
                <w:sz w:val="24"/>
                <w:highlight w:val="none"/>
                <w:lang w:val="en-US" w:eastAsia="zh-CN"/>
              </w:rPr>
              <w:t xml:space="preserve">有效期内的</w:t>
            </w:r>
            <w:r>
              <w:rPr>
                <w:rFonts w:hint="eastAsia" w:ascii="宋体" w:hAnsi="宋体" w:eastAsia="宋体" w:cs="宋体"/>
                <w:color w:val="auto"/>
                <w:sz w:val="24"/>
                <w:highlight w:val="none"/>
              </w:rPr>
              <w:t xml:space="preserve">职业健康安全管理体系认证证书得1分</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取得国家认监委认可的机构颁发的</w:t>
            </w:r>
            <w:r>
              <w:rPr>
                <w:rFonts w:hint="eastAsia" w:ascii="宋体" w:hAnsi="宋体" w:eastAsia="宋体" w:cs="宋体"/>
                <w:color w:val="auto"/>
                <w:sz w:val="24"/>
                <w:highlight w:val="none"/>
                <w:lang w:val="en-US" w:eastAsia="zh-CN"/>
              </w:rPr>
              <w:t xml:space="preserve">有效期内的</w:t>
            </w:r>
            <w:r>
              <w:rPr>
                <w:rFonts w:hint="eastAsia" w:cs="Courier New"/>
                <w:color w:val="auto"/>
                <w:sz w:val="22"/>
                <w:szCs w:val="22"/>
                <w:highlight w:val="none"/>
              </w:rPr>
              <w:t xml:space="preserve">企业诚信管理体系证书</w:t>
            </w:r>
            <w:r>
              <w:rPr>
                <w:rFonts w:hint="eastAsia" w:ascii="宋体" w:hAnsi="宋体" w:eastAsia="宋体" w:cs="宋体"/>
                <w:color w:val="auto"/>
                <w:sz w:val="24"/>
                <w:highlight w:val="none"/>
              </w:rPr>
              <w:t xml:space="preserve">得1分</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投标时需提供证书扫描件。</w:t>
            </w:r>
            <w:r>
              <w:rPr>
                <w:rFonts w:hint="eastAsia" w:ascii="宋体" w:hAnsi="宋体" w:eastAsia="宋体" w:cs="宋体"/>
                <w:color w:val="auto"/>
                <w:sz w:val="24"/>
                <w:highlight w:val="none"/>
              </w:rPr>
              <w:t xml:space="preserve">认证证书可通过“国家认证认可监督管理委员会”网站查询，投标人提供网站查询结果</w:t>
            </w:r>
            <w:r>
              <w:rPr>
                <w:rFonts w:hint="eastAsia" w:ascii="宋体" w:hAnsi="宋体" w:eastAsia="宋体" w:cs="宋体"/>
                <w:color w:val="auto"/>
                <w:sz w:val="24"/>
                <w:highlight w:val="none"/>
                <w:lang w:val="en-US" w:eastAsia="zh-CN"/>
              </w:rPr>
              <w:t xml:space="preserve">截图</w:t>
            </w:r>
            <w:r>
              <w:rPr>
                <w:rFonts w:hint="eastAsia" w:ascii="宋体" w:hAnsi="宋体" w:eastAsia="宋体" w:cs="宋体"/>
                <w:color w:val="auto"/>
                <w:sz w:val="24"/>
                <w:highlight w:val="none"/>
              </w:rPr>
              <w:t xml:space="preserve">并加盖公章，投标人应当确保证书开标当天处于有效期内，否则不予认可。】</w:t>
            </w:r>
            <w:r/>
          </w:p>
        </w:tc>
        <w:tc>
          <w:tcPr>
            <w:tcW w:w="1400"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trHeight w:val="1653"/>
        </w:trPr>
        <w:tc>
          <w:tcPr>
            <w:gridSpan w:val="2"/>
            <w:tcW w:w="1341" w:type="dxa"/>
            <w:vAlign w:val="center"/>
            <w:textDirection w:val="lrTb"/>
            <w:noWrap/>
          </w:tcPr>
          <w:p>
            <w:pPr>
              <w:jc w:val="center"/>
              <w:keepLines w:val="0"/>
              <w:keepNext w:val="0"/>
              <w:pageBreakBefore w:val="0"/>
              <w:spacing w:line="56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人员配备</w:t>
            </w:r>
            <w:r/>
          </w:p>
        </w:tc>
        <w:tc>
          <w:tcPr>
            <w:tcW w:w="6306" w:type="dxa"/>
            <w:vAlign w:val="center"/>
            <w:textDirection w:val="lrTb"/>
            <w:noWrap/>
          </w:tcPr>
          <w:p>
            <w:pPr>
              <w:ind w:firstLine="480"/>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项目组成员（除项目经理外）中</w:t>
            </w:r>
            <w:r>
              <w:rPr>
                <w:rFonts w:hint="eastAsia" w:ascii="宋体" w:hAnsi="宋体" w:cs="宋体"/>
                <w:color w:val="auto"/>
                <w:sz w:val="24"/>
                <w:highlight w:val="none"/>
                <w:lang w:val="en-US" w:eastAsia="zh-CN"/>
              </w:rPr>
              <w:t xml:space="preserve">每</w:t>
            </w:r>
            <w:r>
              <w:rPr>
                <w:rFonts w:hint="eastAsia" w:ascii="宋体" w:hAnsi="宋体" w:eastAsia="宋体" w:cs="宋体"/>
                <w:color w:val="auto"/>
                <w:sz w:val="24"/>
                <w:highlight w:val="none"/>
              </w:rPr>
              <w:t xml:space="preserve">有一个高级（职业技能三级）保安员职业资格证书的得1分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每</w:t>
            </w:r>
            <w:r>
              <w:rPr>
                <w:rFonts w:hint="eastAsia" w:ascii="宋体" w:hAnsi="宋体" w:eastAsia="宋体" w:cs="宋体"/>
                <w:color w:val="auto"/>
                <w:sz w:val="24"/>
                <w:highlight w:val="none"/>
              </w:rPr>
              <w:t xml:space="preserve">有一个中级保安员证的得0.5分，本项总计最高得10分，须提供证书原件彩色扫描件，不提供不得分。（所提供的证书如为同一人以得分高的计分，不重复计分）</w:t>
            </w:r>
            <w:r/>
          </w:p>
        </w:tc>
        <w:tc>
          <w:tcPr>
            <w:tcW w:w="1400"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10分</w:t>
            </w:r>
            <w:r/>
          </w:p>
        </w:tc>
      </w:tr>
      <w:tr>
        <w:trPr>
          <w:trHeight w:val="512"/>
        </w:trPr>
        <w:tc>
          <w:tcPr>
            <w:tcW w:w="484" w:type="dxa"/>
            <w:vAlign w:val="center"/>
            <w:vMerge w:val="restart"/>
            <w:textDirection w:val="lrTb"/>
            <w:noWrap/>
          </w:tcPr>
          <w:p>
            <w:pPr>
              <w:jc w:val="center"/>
              <w:keepLines w:val="0"/>
              <w:keepNext w:val="0"/>
              <w:pageBreakBefore w:val="0"/>
              <w:spacing w:line="560" w:lineRule="exact"/>
              <w:widowControl w:val="off"/>
              <w:rPr>
                <w:rFonts w:hint="eastAsia" w:ascii="宋体" w:hAnsi="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r>
            <w:r/>
          </w:p>
          <w:p>
            <w:pPr>
              <w:jc w:val="center"/>
              <w:keepLines w:val="0"/>
              <w:keepNext w:val="0"/>
              <w:pageBreakBefore w:val="0"/>
              <w:spacing w:line="560" w:lineRule="exact"/>
              <w:widowControl w:val="off"/>
              <w:rPr>
                <w:rFonts w:hint="default"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服务方案</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857"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保安服务</w:t>
            </w:r>
            <w:r>
              <w:rPr>
                <w:rFonts w:hint="eastAsia" w:ascii="宋体" w:hAnsi="宋体" w:eastAsia="宋体" w:cs="宋体"/>
                <w:color w:val="auto"/>
                <w:sz w:val="24"/>
                <w:szCs w:val="24"/>
                <w:highlight w:val="none"/>
              </w:rPr>
              <w:t xml:space="preserve">方案</w:t>
            </w:r>
            <w:r/>
          </w:p>
        </w:tc>
        <w:tc>
          <w:tcPr>
            <w:tcW w:w="6306" w:type="dxa"/>
            <w:vAlign w:val="center"/>
            <w:textDirection w:val="lrTb"/>
            <w:noWrap/>
          </w:tcPr>
          <w:p>
            <w:pPr>
              <w:ind w:firstLine="480"/>
              <w:jc w:val="left"/>
              <w:keepLines w:val="0"/>
              <w:keepNext w:val="0"/>
              <w:pageBreakBefore w:val="0"/>
              <w:spacing w:line="52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供应商根据本项目第四章</w:t>
            </w:r>
            <w:r>
              <w:rPr>
                <w:rFonts w:hint="eastAsia" w:ascii="宋体" w:hAnsi="宋体" w:cs="宋体"/>
                <w:color w:val="auto"/>
                <w:sz w:val="24"/>
                <w:highlight w:val="none"/>
                <w:lang w:val="en-US" w:eastAsia="zh-CN"/>
              </w:rPr>
              <w:t xml:space="preserve">第八项</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1保安服务</w:t>
            </w:r>
            <w:r>
              <w:rPr>
                <w:rFonts w:hint="eastAsia" w:ascii="宋体" w:hAnsi="宋体" w:eastAsia="宋体" w:cs="宋体"/>
                <w:color w:val="auto"/>
                <w:sz w:val="24"/>
                <w:highlight w:val="none"/>
                <w:lang w:val="zh-CN"/>
              </w:rPr>
              <w:t xml:space="preserve">方案要求”</w:t>
            </w:r>
            <w:r>
              <w:rPr>
                <w:rFonts w:hint="eastAsia" w:ascii="宋体" w:hAnsi="宋体" w:eastAsia="宋体" w:cs="宋体"/>
                <w:color w:val="auto"/>
                <w:sz w:val="24"/>
                <w:highlight w:val="none"/>
              </w:rPr>
              <w:t xml:space="preserve">编制</w:t>
            </w:r>
            <w:r>
              <w:rPr>
                <w:rFonts w:hint="eastAsia" w:ascii="宋体" w:hAnsi="宋体" w:eastAsia="宋体" w:cs="宋体"/>
                <w:color w:val="auto"/>
                <w:sz w:val="24"/>
                <w:highlight w:val="none"/>
                <w:lang w:val="zh-CN"/>
              </w:rPr>
              <w:t xml:space="preserve">方案，方案至少包含</w:t>
            </w:r>
            <w:r>
              <w:rPr>
                <w:rFonts w:ascii="SimSun" w:hAnsi="SimSun" w:eastAsia="SimSun" w:cs="SimSun"/>
                <w:color w:val="000000"/>
                <w:sz w:val="24"/>
              </w:rPr>
              <w:t xml:space="preserve">①服务内容、②工作流程、③工作管理制度等内容</w:t>
            </w:r>
            <w:r>
              <w:rPr>
                <w:rFonts w:hint="eastAsia" w:ascii="宋体" w:hAnsi="宋体" w:eastAsia="宋体" w:cs="宋体"/>
                <w:color w:val="auto"/>
                <w:sz w:val="24"/>
                <w:highlight w:val="none"/>
                <w:lang w:val="zh-CN"/>
              </w:rPr>
              <w:t xml:space="preserve">。评委根据投标人提供的方案进行评审。优于项目需求得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分，满足项目需求得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分，不满足或不提供得0分。</w:t>
            </w:r>
            <w:r/>
          </w:p>
          <w:p>
            <w:pPr>
              <w:ind w:firstLine="48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投标人编制的</w:t>
            </w:r>
            <w:r>
              <w:rPr>
                <w:rFonts w:hint="eastAsia" w:ascii="宋体" w:hAnsi="宋体" w:eastAsia="宋体" w:cs="宋体"/>
                <w:color w:val="auto"/>
                <w:sz w:val="24"/>
                <w:highlight w:val="none"/>
                <w:lang w:val="zh-CN"/>
              </w:rPr>
              <w:t xml:space="preserve">方案完全覆盖招标文件列明的所有服务内容，</w:t>
            </w:r>
            <w:r>
              <w:rPr>
                <w:rFonts w:hint="eastAsia" w:ascii="宋体" w:hAnsi="宋体" w:eastAsia="宋体" w:cs="宋体"/>
                <w:color w:val="auto"/>
                <w:sz w:val="24"/>
                <w:highlight w:val="none"/>
                <w:lang w:val="en-US" w:eastAsia="zh-CN"/>
              </w:rPr>
              <w:t xml:space="preserve">目标内容与招标文件需求完全匹配，准确识别招标文件中明确的核心重点，同时还包含了除招标文件项目需求以外且和本项目有关的内容，可视为优于；</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1400"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6分</w:t>
            </w:r>
            <w:r/>
          </w:p>
        </w:tc>
      </w:tr>
      <w:tr>
        <w:trPr>
          <w:trHeight w:val="566"/>
        </w:trPr>
        <w:tc>
          <w:tcPr>
            <w:tcW w:w="484"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857"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lang w:val="zh-CN"/>
              </w:rPr>
              <w:t xml:space="preserve">人员管理方案</w:t>
            </w:r>
            <w:r/>
          </w:p>
        </w:tc>
        <w:tc>
          <w:tcPr>
            <w:tcW w:w="6306" w:type="dxa"/>
            <w:vAlign w:val="center"/>
            <w:textDirection w:val="lrTb"/>
            <w:noWrap/>
          </w:tcPr>
          <w:p>
            <w:pPr>
              <w:ind w:firstLine="48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供应商根据本项目第四章</w:t>
            </w:r>
            <w:r>
              <w:rPr>
                <w:rFonts w:hint="eastAsia" w:ascii="宋体" w:hAnsi="宋体" w:cs="宋体"/>
                <w:color w:val="auto"/>
                <w:sz w:val="24"/>
                <w:highlight w:val="none"/>
                <w:lang w:val="en-US" w:eastAsia="zh-CN"/>
              </w:rPr>
              <w:t xml:space="preserve">第八项</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人员管理方案</w:t>
            </w:r>
            <w:r>
              <w:rPr>
                <w:rFonts w:hint="eastAsia" w:ascii="宋体" w:hAnsi="宋体" w:cs="宋体"/>
                <w:color w:val="auto"/>
                <w:sz w:val="24"/>
                <w:highlight w:val="none"/>
                <w:lang w:val="en-US" w:eastAsia="zh-CN"/>
              </w:rPr>
              <w:t xml:space="preserve">要求”编制方案，</w:t>
            </w:r>
            <w:r>
              <w:rPr>
                <w:rFonts w:hint="eastAsia" w:ascii="宋体" w:hAnsi="宋体" w:eastAsia="宋体" w:cs="宋体"/>
                <w:color w:val="auto"/>
                <w:sz w:val="24"/>
                <w:highlight w:val="none"/>
                <w:lang w:val="zh-CN"/>
              </w:rPr>
              <w:t xml:space="preserve">方案至少包含</w:t>
            </w:r>
            <w:r>
              <w:rPr>
                <w:rFonts w:ascii="SimSun" w:hAnsi="SimSun" w:eastAsia="SimSun" w:cs="SimSun"/>
                <w:color w:val="000000"/>
                <w:sz w:val="24"/>
              </w:rPr>
              <w:t xml:space="preserve">①项目组织结构、②岗位设置、人员配备、③岗位职责。</w:t>
            </w:r>
            <w:r>
              <w:rPr>
                <w:rFonts w:hint="eastAsia" w:ascii="宋体" w:hAnsi="宋体" w:eastAsia="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分，不满足或不提供得0分。</w:t>
            </w:r>
            <w:r/>
          </w:p>
          <w:p>
            <w:pPr>
              <w:ind w:firstLine="48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编制的方案内容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方案进行评审。</w:t>
            </w:r>
            <w:r/>
          </w:p>
        </w:tc>
        <w:tc>
          <w:tcPr>
            <w:tcW w:w="1400"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6分</w:t>
            </w:r>
            <w:r/>
          </w:p>
        </w:tc>
      </w:tr>
      <w:tr>
        <w:trPr>
          <w:trHeight w:val="566"/>
        </w:trPr>
        <w:tc>
          <w:tcPr>
            <w:tcW w:w="484"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857"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消防管理方案</w:t>
            </w:r>
            <w:r/>
          </w:p>
        </w:tc>
        <w:tc>
          <w:tcPr>
            <w:tcW w:w="6306" w:type="dxa"/>
            <w:vAlign w:val="center"/>
            <w:textDirection w:val="lrTb"/>
            <w:noWrap/>
          </w:tcPr>
          <w:p>
            <w:pPr>
              <w:ind w:firstLine="48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供应商根据本项目第四章</w:t>
            </w:r>
            <w:r>
              <w:rPr>
                <w:rFonts w:hint="eastAsia" w:ascii="宋体" w:hAnsi="宋体" w:cs="宋体"/>
                <w:color w:val="auto"/>
                <w:sz w:val="24"/>
                <w:highlight w:val="none"/>
                <w:lang w:val="en-US" w:eastAsia="zh-CN"/>
              </w:rPr>
              <w:t xml:space="preserve">第八项</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消防管理方案</w:t>
            </w:r>
            <w:r>
              <w:rPr>
                <w:rFonts w:hint="eastAsia" w:ascii="宋体" w:hAnsi="宋体" w:eastAsia="宋体" w:cs="宋体"/>
                <w:color w:val="auto"/>
                <w:sz w:val="24"/>
                <w:highlight w:val="none"/>
                <w:lang w:val="zh-CN"/>
              </w:rPr>
              <w:t xml:space="preserve">要求”</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提供完善可行的方案</w:t>
            </w:r>
            <w:r>
              <w:rPr>
                <w:rFonts w:hint="eastAsia" w:ascii="宋体" w:hAnsi="宋体" w:cs="宋体"/>
                <w:color w:val="auto"/>
                <w:sz w:val="24"/>
                <w:highlight w:val="none"/>
                <w:lang w:val="zh-CN"/>
              </w:rPr>
              <w:t xml:space="preserve">。</w:t>
            </w:r>
            <w:r>
              <w:rPr>
                <w:rFonts w:hint="eastAsia" w:ascii="宋体" w:hAnsi="宋体" w:eastAsia="宋体" w:cs="宋体"/>
                <w:color w:val="auto"/>
                <w:sz w:val="24"/>
                <w:highlight w:val="none"/>
                <w:lang w:val="zh-CN"/>
              </w:rPr>
              <w:t xml:space="preserve">方案至少包含：</w:t>
            </w:r>
            <w:r>
              <w:rPr>
                <w:rFonts w:ascii="SimSun" w:hAnsi="SimSun" w:eastAsia="SimSun" w:cs="SimSun"/>
                <w:color w:val="000000"/>
                <w:sz w:val="24"/>
              </w:rPr>
              <w:t xml:space="preserve">①消防管理组织架构、②岗位设置及职责、③工作流程、④服务标准及管理制度等。</w:t>
            </w:r>
            <w:r>
              <w:rPr>
                <w:rFonts w:hint="eastAsia" w:ascii="宋体" w:hAnsi="宋体" w:eastAsia="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p>
            <w:pPr>
              <w:ind w:firstLine="48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供应商编制的</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内容详细，</w:t>
            </w:r>
            <w:r>
              <w:rPr>
                <w:rFonts w:hint="eastAsia" w:ascii="宋体" w:hAnsi="宋体" w:eastAsia="宋体" w:cs="宋体"/>
                <w:color w:val="auto"/>
                <w:sz w:val="24"/>
                <w:highlight w:val="none"/>
                <w:lang w:val="zh-CN"/>
              </w:rPr>
              <w:t xml:space="preserve">完全覆盖招标文件的</w:t>
            </w:r>
            <w:r>
              <w:rPr>
                <w:rFonts w:hint="eastAsia" w:ascii="宋体" w:hAnsi="宋体" w:eastAsia="宋体" w:cs="宋体"/>
                <w:color w:val="auto"/>
                <w:sz w:val="24"/>
                <w:highlight w:val="none"/>
                <w:lang w:val="en-US" w:eastAsia="zh-CN"/>
              </w:rPr>
              <w:t xml:space="preserve">需求</w:t>
            </w:r>
            <w:r>
              <w:rPr>
                <w:rFonts w:hint="eastAsia" w:ascii="宋体" w:hAnsi="宋体" w:eastAsia="宋体" w:cs="宋体"/>
                <w:color w:val="auto"/>
                <w:sz w:val="24"/>
                <w:highlight w:val="none"/>
                <w:lang w:val="zh-CN"/>
              </w:rPr>
              <w:t xml:space="preserve">服务内容，</w:t>
            </w:r>
            <w:r>
              <w:rPr>
                <w:rFonts w:hint="eastAsia" w:ascii="宋体" w:hAnsi="宋体" w:eastAsia="宋体" w:cs="宋体"/>
                <w:color w:val="auto"/>
                <w:sz w:val="24"/>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1400"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6分</w:t>
            </w:r>
            <w:r/>
          </w:p>
        </w:tc>
      </w:tr>
      <w:tr>
        <w:trPr>
          <w:trHeight w:val="566"/>
        </w:trPr>
        <w:tc>
          <w:tcPr>
            <w:tcW w:w="484"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857"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应急</w:t>
            </w:r>
            <w:r>
              <w:rPr>
                <w:rFonts w:hint="eastAsia" w:ascii="宋体" w:hAnsi="宋体" w:eastAsia="宋体" w:cs="宋体"/>
                <w:color w:val="auto"/>
                <w:sz w:val="24"/>
                <w:szCs w:val="24"/>
                <w:highlight w:val="none"/>
                <w:lang w:val="en-US" w:eastAsia="zh-CN"/>
              </w:rPr>
              <w:t xml:space="preserve">保障</w:t>
            </w:r>
            <w:r/>
          </w:p>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方案</w:t>
            </w:r>
            <w:r/>
          </w:p>
        </w:tc>
        <w:tc>
          <w:tcPr>
            <w:tcW w:w="6306" w:type="dxa"/>
            <w:vAlign w:val="center"/>
            <w:textDirection w:val="lrTb"/>
            <w:noWrap/>
          </w:tcPr>
          <w:p>
            <w:pPr>
              <w:ind w:firstLine="480"/>
              <w:jc w:val="left"/>
              <w:keepLines w:val="0"/>
              <w:keepNext w:val="0"/>
              <w:pageBreakBefore w:val="0"/>
              <w:spacing w:line="52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供应商根据</w:t>
            </w:r>
            <w:r>
              <w:rPr>
                <w:rFonts w:hint="eastAsia" w:ascii="宋体" w:hAnsi="宋体" w:eastAsia="宋体" w:cs="宋体"/>
                <w:color w:val="auto"/>
                <w:sz w:val="24"/>
                <w:highlight w:val="none"/>
                <w:lang w:val="zh-CN"/>
              </w:rPr>
              <w:t xml:space="preserve">本项目第四章</w:t>
            </w:r>
            <w:r>
              <w:rPr>
                <w:rFonts w:hint="eastAsia" w:ascii="宋体" w:hAnsi="宋体" w:cs="宋体"/>
                <w:color w:val="auto"/>
                <w:sz w:val="24"/>
                <w:highlight w:val="none"/>
                <w:lang w:val="en-US" w:eastAsia="zh-CN"/>
              </w:rPr>
              <w:t xml:space="preserve">第八项</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应急</w:t>
            </w:r>
            <w:r>
              <w:rPr>
                <w:rFonts w:hint="eastAsia" w:ascii="宋体" w:hAnsi="宋体" w:cs="宋体"/>
                <w:color w:val="auto"/>
                <w:sz w:val="24"/>
                <w:highlight w:val="none"/>
                <w:lang w:val="en-US" w:eastAsia="zh-CN"/>
              </w:rPr>
              <w:t xml:space="preserve">处置方案</w:t>
            </w:r>
            <w:r>
              <w:rPr>
                <w:rFonts w:hint="eastAsia" w:ascii="宋体" w:hAnsi="宋体" w:eastAsia="宋体" w:cs="宋体"/>
                <w:color w:val="auto"/>
                <w:sz w:val="24"/>
                <w:highlight w:val="none"/>
                <w:lang w:val="zh-CN"/>
              </w:rPr>
              <w:t xml:space="preserve">要求”</w:t>
            </w:r>
            <w:r>
              <w:rPr>
                <w:rFonts w:hint="eastAsia" w:ascii="宋体" w:hAnsi="宋体" w:cs="宋体"/>
                <w:color w:val="auto"/>
                <w:sz w:val="24"/>
                <w:highlight w:val="none"/>
                <w:lang w:val="en-US" w:eastAsia="zh-CN"/>
              </w:rPr>
              <w:t xml:space="preserve">编制方案</w:t>
            </w:r>
            <w:r>
              <w:rPr>
                <w:rFonts w:hint="eastAsia" w:ascii="宋体" w:hAnsi="宋体" w:eastAsia="宋体" w:cs="宋体"/>
                <w:color w:val="auto"/>
                <w:sz w:val="24"/>
                <w:highlight w:val="none"/>
                <w:lang w:val="en-US" w:eastAsia="zh-CN"/>
              </w:rPr>
              <w:t xml:space="preserve">，方案包括但不限于</w:t>
            </w:r>
            <w:r>
              <w:rPr>
                <w:rFonts w:ascii="SimSun" w:hAnsi="SimSun" w:eastAsia="SimSun" w:cs="SimSun"/>
                <w:color w:val="000000"/>
                <w:sz w:val="24"/>
              </w:rPr>
              <w:t xml:space="preserve">①本项目可能发生的突发事件的分析、②突发事件的处理流程、③突发事件的演练计划等内容。</w:t>
            </w:r>
            <w:r>
              <w:rPr>
                <w:rFonts w:hint="eastAsia" w:ascii="宋体" w:hAnsi="宋体" w:eastAsia="宋体" w:cs="宋体"/>
                <w:color w:val="auto"/>
                <w:sz w:val="24"/>
                <w:highlight w:val="none"/>
              </w:rPr>
              <w:t xml:space="preserve">方案优于项目需求得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p>
            <w:pPr>
              <w:ind w:firstLine="48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投标人编制的</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内容详细，</w:t>
            </w:r>
            <w:r>
              <w:rPr>
                <w:rFonts w:hint="eastAsia" w:ascii="宋体" w:hAnsi="宋体" w:eastAsia="宋体" w:cs="宋体"/>
                <w:color w:val="auto"/>
                <w:sz w:val="24"/>
                <w:highlight w:val="none"/>
                <w:lang w:val="zh-CN"/>
              </w:rPr>
              <w:t xml:space="preserve">完全覆盖招标文件的</w:t>
            </w:r>
            <w:r>
              <w:rPr>
                <w:rFonts w:hint="eastAsia" w:ascii="宋体" w:hAnsi="宋体" w:eastAsia="宋体" w:cs="宋体"/>
                <w:color w:val="auto"/>
                <w:sz w:val="24"/>
                <w:highlight w:val="none"/>
                <w:lang w:val="en-US" w:eastAsia="zh-CN"/>
              </w:rPr>
              <w:t xml:space="preserve">需求</w:t>
            </w:r>
            <w:r>
              <w:rPr>
                <w:rFonts w:hint="eastAsia" w:ascii="宋体" w:hAnsi="宋体" w:eastAsia="宋体" w:cs="宋体"/>
                <w:color w:val="auto"/>
                <w:sz w:val="24"/>
                <w:highlight w:val="none"/>
                <w:lang w:val="zh-CN"/>
              </w:rPr>
              <w:t xml:space="preserve">服务内容，</w:t>
            </w:r>
            <w:r>
              <w:rPr>
                <w:rFonts w:hint="eastAsia" w:ascii="宋体" w:hAnsi="宋体" w:eastAsia="宋体" w:cs="宋体"/>
                <w:color w:val="auto"/>
                <w:sz w:val="24"/>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1400" w:type="dxa"/>
            <w:vAlign w:val="center"/>
            <w:textDirection w:val="lrTb"/>
            <w:noWrap/>
          </w:tcPr>
          <w:p>
            <w:pPr>
              <w:jc w:val="center"/>
              <w:keepLines w:val="0"/>
              <w:keepNext w:val="0"/>
              <w:pageBreakBefore w:val="0"/>
              <w:spacing w:line="560" w:lineRule="exact"/>
              <w:widowControl w:val="off"/>
              <w:rPr>
                <w:rFonts w:hint="default" w:ascii="宋体" w:hAnsi="宋体" w:cs="宋体"/>
                <w:color w:val="auto"/>
                <w:sz w:val="24"/>
                <w:szCs w:val="24"/>
                <w:lang w:val="en-US" w:eastAsia="zh-CN"/>
              </w:rPr>
              <w:outlineLvl w:val="9"/>
            </w:pPr>
            <w:r>
              <w:rPr>
                <w:rFonts w:hint="eastAsia" w:ascii="宋体" w:hAnsi="宋体" w:cs="宋体"/>
                <w:color w:val="auto"/>
                <w:sz w:val="24"/>
                <w:szCs w:val="24"/>
                <w:lang w:val="en-US" w:eastAsia="zh-CN"/>
              </w:rPr>
              <w:t xml:space="preserve">6分</w:t>
            </w:r>
            <w:r/>
          </w:p>
        </w:tc>
      </w:tr>
      <w:tr>
        <w:trPr>
          <w:trHeight w:val="6445"/>
        </w:trPr>
        <w:tc>
          <w:tcPr>
            <w:tcW w:w="484" w:type="dxa"/>
            <w:vAlign w:val="center"/>
            <w:vMerge w:val="continue"/>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857" w:type="dxa"/>
            <w:vAlign w:val="center"/>
            <w:textDirection w:val="lrTb"/>
            <w:noWrap/>
          </w:tcPr>
          <w:p>
            <w:pPr>
              <w:jc w:val="center"/>
              <w:keepLines w:val="0"/>
              <w:keepNext w:val="0"/>
              <w:pageBreakBefore w:val="0"/>
              <w:spacing w:line="5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培训方案</w:t>
            </w:r>
            <w:r/>
          </w:p>
        </w:tc>
        <w:tc>
          <w:tcPr>
            <w:tcW w:w="6306" w:type="dxa"/>
            <w:vAlign w:val="center"/>
            <w:textDirection w:val="lrTb"/>
            <w:noWrap/>
          </w:tcPr>
          <w:p>
            <w:pPr>
              <w:ind w:firstLine="480"/>
              <w:jc w:val="left"/>
              <w:keepLines w:val="0"/>
              <w:keepNext w:val="0"/>
              <w:pageBreakBefore w:val="0"/>
              <w:spacing w:line="52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根据</w:t>
            </w:r>
            <w:r>
              <w:rPr>
                <w:rFonts w:hint="eastAsia" w:ascii="宋体" w:hAnsi="宋体" w:eastAsia="宋体" w:cs="宋体"/>
                <w:color w:val="auto"/>
                <w:sz w:val="24"/>
                <w:highlight w:val="none"/>
                <w:lang w:val="zh-CN"/>
              </w:rPr>
              <w:t xml:space="preserve">本项目第四章</w:t>
            </w:r>
            <w:r>
              <w:rPr>
                <w:rFonts w:hint="eastAsia" w:ascii="宋体" w:hAnsi="宋体" w:cs="宋体"/>
                <w:color w:val="auto"/>
                <w:sz w:val="24"/>
                <w:highlight w:val="none"/>
                <w:lang w:val="en-US" w:eastAsia="zh-CN"/>
              </w:rPr>
              <w:t xml:space="preserve">第八项</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5培训计划要求</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投标人须</w:t>
            </w:r>
            <w:r>
              <w:rPr>
                <w:rFonts w:hint="eastAsia" w:ascii="宋体" w:hAnsi="宋体" w:cs="宋体"/>
                <w:color w:val="auto"/>
                <w:sz w:val="24"/>
                <w:highlight w:val="none"/>
                <w:lang w:val="en-US" w:eastAsia="zh-CN"/>
              </w:rPr>
              <w:t xml:space="preserve">编制详细的培训方案，培训方案至少包含：</w:t>
            </w:r>
            <w:r>
              <w:rPr>
                <w:rFonts w:ascii="SimSun" w:hAnsi="SimSun" w:eastAsia="SimSun" w:cs="SimSun"/>
                <w:color w:val="000000"/>
                <w:sz w:val="24"/>
              </w:rPr>
              <w:t xml:space="preserve">①培训对象、②培训时间和次数、③培训内容、④培训方式等</w:t>
            </w:r>
            <w:r>
              <w:rPr>
                <w:rFonts w:hint="eastAsia" w:ascii="宋体" w:hAnsi="宋体" w:eastAsia="宋体" w:cs="宋体"/>
                <w:color w:val="auto"/>
                <w:sz w:val="24"/>
                <w:highlight w:val="none"/>
              </w:rPr>
              <w:t xml:space="preserve">。优于项目需求得</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分，方案满足项目需求得</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zh-CN"/>
              </w:rPr>
              <w:t xml:space="preserve">不满足或不提供得0分。</w:t>
            </w:r>
            <w:r/>
          </w:p>
          <w:p>
            <w:pPr>
              <w:ind w:firstLine="480"/>
              <w:jc w:val="left"/>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投标人编制的</w:t>
            </w:r>
            <w:r>
              <w:rPr>
                <w:rFonts w:hint="eastAsia" w:ascii="宋体" w:hAnsi="宋体" w:cs="宋体"/>
                <w:color w:val="auto"/>
                <w:sz w:val="24"/>
                <w:highlight w:val="none"/>
                <w:lang w:val="en-US" w:eastAsia="zh-CN"/>
              </w:rPr>
              <w:t xml:space="preserve">培训</w:t>
            </w:r>
            <w:r>
              <w:rPr>
                <w:rFonts w:hint="eastAsia" w:ascii="宋体" w:hAnsi="宋体" w:eastAsia="宋体" w:cs="宋体"/>
                <w:color w:val="auto"/>
                <w:sz w:val="24"/>
                <w:highlight w:val="none"/>
                <w:lang w:val="en-US" w:eastAsia="zh-CN"/>
              </w:rPr>
              <w:t xml:space="preserve">方案详细，</w:t>
            </w:r>
            <w:r>
              <w:rPr>
                <w:rFonts w:hint="eastAsia" w:ascii="宋体" w:hAnsi="宋体" w:eastAsia="宋体" w:cs="宋体"/>
                <w:color w:val="auto"/>
                <w:sz w:val="24"/>
                <w:highlight w:val="none"/>
                <w:lang w:val="zh-CN"/>
              </w:rPr>
              <w:t xml:space="preserve">完全覆盖招标文件的</w:t>
            </w:r>
            <w:r>
              <w:rPr>
                <w:rFonts w:hint="eastAsia" w:ascii="宋体" w:hAnsi="宋体" w:eastAsia="宋体" w:cs="宋体"/>
                <w:color w:val="auto"/>
                <w:sz w:val="24"/>
                <w:highlight w:val="none"/>
                <w:lang w:val="en-US" w:eastAsia="zh-CN"/>
              </w:rPr>
              <w:t xml:space="preserve">需求</w:t>
            </w:r>
            <w:r>
              <w:rPr>
                <w:rFonts w:hint="eastAsia" w:ascii="宋体" w:hAnsi="宋体" w:eastAsia="宋体" w:cs="宋体"/>
                <w:color w:val="auto"/>
                <w:sz w:val="24"/>
                <w:highlight w:val="none"/>
                <w:lang w:val="zh-CN"/>
              </w:rPr>
              <w:t xml:space="preserve">服务内容，</w:t>
            </w:r>
            <w:r>
              <w:rPr>
                <w:rFonts w:hint="eastAsia" w:ascii="宋体" w:hAnsi="宋体" w:eastAsia="宋体" w:cs="宋体"/>
                <w:color w:val="auto"/>
                <w:sz w:val="24"/>
                <w:highlight w:val="none"/>
                <w:lang w:val="en-US" w:eastAsia="zh-CN"/>
              </w:rPr>
              <w:t xml:space="preserve">有针对性，切实可行，同时还包含了除招标文件项目需求以外且和本项目有关的内容，可视为优于；</w:t>
            </w:r>
            <w:r>
              <w:rPr>
                <w:rFonts w:hint="eastAsia" w:ascii="宋体" w:hAnsi="宋体" w:eastAsia="宋体" w:cs="宋体"/>
                <w:color w:val="auto"/>
                <w:sz w:val="24"/>
                <w:highlight w:val="none"/>
                <w:lang w:val="zh-CN"/>
              </w:rPr>
              <w:t xml:space="preserve">方案</w:t>
            </w:r>
            <w:r>
              <w:rPr>
                <w:rFonts w:hint="eastAsia" w:ascii="宋体" w:hAnsi="宋体" w:eastAsia="宋体" w:cs="宋体"/>
                <w:color w:val="auto"/>
                <w:sz w:val="24"/>
                <w:highlight w:val="none"/>
                <w:lang w:val="en-US" w:eastAsia="zh-CN"/>
              </w:rPr>
              <w:t xml:space="preserve">能响应需求的，视为满足项目需求；方案内容简单，不能完全响应项目需求或有负偏离的，可视为不符合。具体由评标委员会根据投标人的方案进行评审。</w:t>
            </w:r>
            <w:r/>
          </w:p>
        </w:tc>
        <w:tc>
          <w:tcPr>
            <w:tcW w:w="1400" w:type="dxa"/>
            <w:vAlign w:val="center"/>
            <w:textDirection w:val="lrTb"/>
            <w:noWrap/>
          </w:tcPr>
          <w:p>
            <w:pPr>
              <w:jc w:val="center"/>
              <w:keepLines w:val="0"/>
              <w:keepNext w:val="0"/>
              <w:pageBreakBefore w:val="0"/>
              <w:spacing w:line="560" w:lineRule="exact"/>
              <w:widowControl w:val="off"/>
              <w:rPr>
                <w:rFonts w:hint="eastAsia" w:ascii="宋体" w:hAnsi="宋体" w:cs="宋体"/>
                <w:color w:val="auto"/>
                <w:sz w:val="24"/>
                <w:szCs w:val="24"/>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bl>
    <w:p>
      <w:pPr>
        <w:rPr>
          <w:rFonts w:hint="eastAsia" w:ascii="宋体" w:hAnsi="宋体" w:eastAsia="宋体" w:cs="宋体"/>
          <w:bCs/>
          <w:color w:val="auto"/>
          <w:sz w:val="44"/>
          <w:highlight w:val="none"/>
        </w:rPr>
      </w:pPr>
      <w:r/>
      <w:bookmarkStart w:id="13" w:name="_Toc20321"/>
      <w:r>
        <w:rPr>
          <w:rFonts w:hint="eastAsia" w:ascii="宋体" w:hAnsi="宋体" w:eastAsia="宋体" w:cs="宋体"/>
          <w:bCs/>
          <w:color w:val="auto"/>
          <w:sz w:val="44"/>
          <w:highlight w:val="none"/>
        </w:rPr>
        <w:br w:type="page" w:clear="all"/>
      </w:r>
      <w:r/>
    </w:p>
    <w:p>
      <w:pPr>
        <w:pStyle w:val="846"/>
        <w:spacing w:line="360" w:lineRule="auto"/>
        <w:rPr>
          <w:rFonts w:hint="eastAsia" w:ascii="宋体" w:hAnsi="宋体" w:eastAsia="宋体" w:cs="宋体"/>
          <w:bCs/>
          <w:color w:val="auto"/>
          <w:sz w:val="44"/>
          <w:highlight w:val="none"/>
        </w:rPr>
        <w:outlineLvl w:val="0"/>
      </w:pPr>
      <w:r>
        <w:rPr>
          <w:rFonts w:hint="eastAsia" w:ascii="宋体" w:hAnsi="宋体" w:eastAsia="宋体" w:cs="宋体"/>
          <w:bCs/>
          <w:color w:val="auto"/>
          <w:sz w:val="44"/>
          <w:highlight w:val="none"/>
        </w:rPr>
      </w:r>
      <w:r/>
    </w:p>
    <w:p>
      <w:pPr>
        <w:pStyle w:val="846"/>
        <w:spacing w:line="360" w:lineRule="auto"/>
        <w:rPr>
          <w:rFonts w:hint="eastAsia" w:ascii="黑体" w:hAnsi="黑体" w:eastAsia="黑体" w:cs="黑体"/>
          <w:color w:val="auto"/>
          <w:sz w:val="44"/>
          <w:szCs w:val="44"/>
          <w:highlight w:val="none"/>
        </w:rPr>
        <w:outlineLvl w:val="0"/>
      </w:pPr>
      <w:r>
        <w:rPr>
          <w:rFonts w:hint="eastAsia" w:ascii="黑体" w:hAnsi="黑体" w:eastAsia="黑体" w:cs="黑体"/>
          <w:bCs/>
          <w:color w:val="auto"/>
          <w:sz w:val="44"/>
          <w:highlight w:val="none"/>
        </w:rPr>
        <w:t xml:space="preserve">第六章 投标文件格式</w:t>
      </w:r>
      <w:bookmarkEnd w:id="13"/>
      <w:r/>
      <w:r/>
    </w:p>
    <w:p>
      <w:pPr>
        <w:jc w:val="both"/>
        <w:spacing w:line="360" w:lineRule="auto"/>
        <w:rPr>
          <w:rFonts w:hint="eastAsia" w:ascii="宋体" w:hAnsi="宋体" w:eastAsia="宋体" w:cs="宋体"/>
          <w:b/>
          <w:color w:val="auto"/>
          <w:sz w:val="72"/>
          <w:highlight w:val="none"/>
        </w:rPr>
        <w:outlineLvl w:val="9"/>
      </w:pPr>
      <w:r/>
      <w:bookmarkStart w:id="14" w:name="_Toc23368"/>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  标  文  件</w:t>
      </w:r>
      <w:bookmarkEnd w:id="14"/>
      <w:r/>
      <w:r/>
    </w:p>
    <w:p>
      <w:pPr>
        <w:pStyle w:val="977"/>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77"/>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77"/>
        <w:ind w:firstLine="723"/>
        <w:jc w:val="both"/>
        <w:spacing w:beforeAutospacing="0" w:afterAutospacing="0"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r>
      <w:r/>
    </w:p>
    <w:p>
      <w:pPr>
        <w:pStyle w:val="977"/>
        <w:ind w:firstLine="1446"/>
        <w:jc w:val="both"/>
        <w:keepLines w:val="0"/>
        <w:keepNext w:val="0"/>
        <w:pageBreakBefore w:val="0"/>
        <w:spacing w:beforeAutospacing="0" w:afterAutospacing="0" w:line="500" w:lineRule="exact"/>
        <w:widowControl/>
        <w:rPr>
          <w:rFonts w:hint="eastAsia" w:ascii="宋体" w:hAnsi="宋体" w:eastAsia="宋体" w:cs="宋体"/>
          <w:color w:val="auto"/>
          <w:highlight w:val="none"/>
        </w:rPr>
        <w:outlineLvl w:val="9"/>
      </w:pPr>
      <w:r/>
      <w:bookmarkStart w:id="15"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rPr>
          <w:rFonts w:hint="eastAsia"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bookmarkEnd w:id="15"/>
      <w:r/>
      <w:r/>
    </w:p>
    <w:p>
      <w:pPr>
        <w:pStyle w:val="977"/>
        <w:ind w:firstLine="1446"/>
        <w:jc w:val="both"/>
        <w:keepLines w:val="0"/>
        <w:keepNext w:val="0"/>
        <w:pageBreakBefore w:val="0"/>
        <w:spacing w:beforeAutospacing="0" w:afterAutospacing="0" w:line="500" w:lineRule="exact"/>
        <w:widowControl/>
        <w:rPr>
          <w:rFonts w:hint="default" w:ascii="宋体" w:hAnsi="宋体" w:eastAsia="宋体" w:cs="宋体"/>
          <w:b/>
          <w:color w:val="auto"/>
          <w:sz w:val="36"/>
          <w:szCs w:val="36"/>
          <w:highlight w:val="none"/>
          <w:u w:val="single"/>
          <w:lang w:val="en-US" w:eastAsia="zh-CN"/>
        </w:rPr>
        <w:outlineLvl w:val="9"/>
      </w:pPr>
      <w:r/>
      <w:bookmarkStart w:id="16"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16"/>
      <w:r>
        <w:rPr>
          <w:rFonts w:hint="eastAsia" w:cs="宋体"/>
          <w:b/>
          <w:color w:val="auto"/>
          <w:sz w:val="36"/>
          <w:szCs w:val="36"/>
          <w:highlight w:val="none"/>
          <w:u w:val="single"/>
          <w:lang w:val="en-US" w:eastAsia="zh-CN"/>
        </w:rPr>
        <w:t xml:space="preserve">       </w:t>
      </w:r>
      <w:r/>
    </w:p>
    <w:p>
      <w:pPr>
        <w:pStyle w:val="977"/>
        <w:ind w:firstLine="1446"/>
        <w:jc w:val="both"/>
        <w:keepLines w:val="0"/>
        <w:keepNext w:val="0"/>
        <w:pageBreakBefore w:val="0"/>
        <w:spacing w:beforeAutospacing="0" w:afterAutospacing="0" w:line="500" w:lineRule="exact"/>
        <w:widowControl/>
        <w:rPr>
          <w:rFonts w:hint="eastAsia" w:ascii="宋体" w:hAnsi="宋体" w:eastAsia="宋体" w:cs="宋体"/>
          <w:b/>
          <w:color w:val="auto"/>
          <w:sz w:val="36"/>
          <w:szCs w:val="36"/>
          <w:highlight w:val="none"/>
          <w:u w:val="single"/>
        </w:rPr>
        <w:outlineLvl w:val="9"/>
      </w:pPr>
      <w:r/>
      <w:bookmarkStart w:id="17" w:name="_Toc7579"/>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bookmarkEnd w:id="17"/>
      <w:r/>
      <w:r/>
    </w:p>
    <w:p>
      <w:pPr>
        <w:pStyle w:val="977"/>
        <w:ind w:firstLine="1446"/>
        <w:jc w:val="both"/>
        <w:keepLines w:val="0"/>
        <w:keepNext w:val="0"/>
        <w:pageBreakBefore w:val="0"/>
        <w:spacing w:beforeAutospacing="0" w:afterAutospacing="0" w:line="500" w:lineRule="exact"/>
        <w:widowControl/>
        <w:rPr>
          <w:rFonts w:hint="eastAsia" w:ascii="宋体" w:hAnsi="宋体" w:eastAsia="宋体" w:cs="宋体"/>
          <w:color w:val="auto"/>
          <w:highlight w:val="none"/>
          <w:lang w:val="en-US" w:eastAsia="zh-CN"/>
        </w:rPr>
        <w:outlineLvl w:val="9"/>
      </w:pPr>
      <w:r/>
      <w:bookmarkStart w:id="18"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18"/>
      <w:r>
        <w:rPr>
          <w:rFonts w:hint="eastAsia" w:cs="宋体"/>
          <w:b/>
          <w:color w:val="auto"/>
          <w:sz w:val="36"/>
          <w:szCs w:val="36"/>
          <w:highlight w:val="none"/>
          <w:u w:val="single"/>
          <w:lang w:val="en-US" w:eastAsia="zh-CN"/>
        </w:rPr>
        <w:t xml:space="preserve"> </w:t>
      </w:r>
      <w:r/>
    </w:p>
    <w:p>
      <w:pP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p>
    <w:p>
      <w:pPr>
        <w:pStyle w:val="977"/>
        <w:jc w:val="center"/>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pStyle w:val="977"/>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一、法人或者其他组织的营业执照等证明文件，自然人的身份证明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二、上一年度的财务状况</w:t>
      </w:r>
      <w:r>
        <w:rPr>
          <w:rFonts w:hint="eastAsia" w:ascii="宋体" w:hAnsi="宋体" w:cs="宋体"/>
          <w:color w:val="auto"/>
          <w:sz w:val="24"/>
          <w:highlight w:val="none"/>
          <w:lang w:val="en-US" w:eastAsia="zh-CN"/>
        </w:rPr>
        <w:t xml:space="preserve">报表</w:t>
      </w:r>
      <w:r>
        <w:rPr>
          <w:rFonts w:hint="eastAsia" w:ascii="宋体" w:hAnsi="宋体" w:eastAsia="宋体" w:cs="宋体"/>
          <w:color w:val="auto"/>
          <w:sz w:val="24"/>
          <w:highlight w:val="none"/>
        </w:rPr>
        <w:t xml:space="preserve">（至少提供资产负债表、利润表、现金流量表，投标人成立不满一年无需提供）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三、具备履行合同所必需的设备和专业技术能力的书面声明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五、参加政府采购活动前3年内在经营活动中没有重大违法记录的书面声明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六、单位负责人为同一人或者存在直接控股、管理关系的不同供应商，不得参加同一合同项下的政府采购活动（投标文件中需提供声明）</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特定资格要求的证明文件（如果本项目设置特定资格要求，则需要提供）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八</w:t>
      </w:r>
      <w:r>
        <w:rPr>
          <w:rFonts w:hint="eastAsia" w:ascii="宋体" w:hAnsi="宋体" w:eastAsia="宋体" w:cs="宋体"/>
          <w:color w:val="auto"/>
          <w:sz w:val="24"/>
          <w:highlight w:val="none"/>
        </w:rPr>
        <w:t xml:space="preserve">、法人授权书</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九</w:t>
      </w:r>
      <w:r>
        <w:rPr>
          <w:rFonts w:hint="eastAsia" w:ascii="宋体" w:hAnsi="宋体" w:eastAsia="宋体" w:cs="宋体"/>
          <w:color w:val="auto"/>
          <w:sz w:val="24"/>
          <w:highlight w:val="none"/>
        </w:rPr>
        <w:t xml:space="preserve">、投标函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rPr>
        <w:t xml:space="preserve">、中小企业声明函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一</w:t>
      </w:r>
      <w:r>
        <w:rPr>
          <w:rFonts w:hint="eastAsia" w:ascii="宋体" w:hAnsi="宋体" w:eastAsia="宋体" w:cs="宋体"/>
          <w:color w:val="auto"/>
          <w:sz w:val="24"/>
          <w:highlight w:val="none"/>
        </w:rPr>
        <w:t xml:space="preserve">、残疾人福利性单位声明函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二</w:t>
      </w:r>
      <w:r>
        <w:rPr>
          <w:rFonts w:hint="eastAsia" w:ascii="宋体" w:hAnsi="宋体" w:eastAsia="宋体" w:cs="宋体"/>
          <w:color w:val="auto"/>
          <w:sz w:val="24"/>
          <w:highlight w:val="none"/>
        </w:rPr>
        <w:t xml:space="preserve">、投标分项报价表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、技术要求响应及偏离表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四</w:t>
      </w:r>
      <w:r>
        <w:rPr>
          <w:rFonts w:hint="eastAsia" w:ascii="宋体" w:hAnsi="宋体" w:eastAsia="宋体" w:cs="宋体"/>
          <w:color w:val="auto"/>
          <w:sz w:val="24"/>
          <w:highlight w:val="none"/>
        </w:rPr>
        <w:t xml:space="preserve">、商务要求响应及偏离表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、开标一览表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六</w:t>
      </w:r>
      <w:r>
        <w:rPr>
          <w:rFonts w:hint="eastAsia" w:ascii="宋体" w:hAnsi="宋体" w:eastAsia="宋体" w:cs="宋体"/>
          <w:color w:val="auto"/>
          <w:sz w:val="24"/>
          <w:highlight w:val="none"/>
        </w:rPr>
        <w:t xml:space="preserve">、服务方案等</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eastAsia="zh-CN"/>
        </w:rPr>
        <w:t xml:space="preserve">七</w:t>
      </w:r>
      <w:r>
        <w:rPr>
          <w:rFonts w:hint="eastAsia" w:ascii="宋体" w:hAnsi="宋体" w:eastAsia="宋体" w:cs="宋体"/>
          <w:color w:val="auto"/>
          <w:sz w:val="24"/>
          <w:highlight w:val="none"/>
        </w:rPr>
        <w:t xml:space="preserve">、盐城市政府采购事前信用承诺书</w:t>
      </w:r>
      <w:r/>
    </w:p>
    <w:p>
      <w:pPr>
        <w:jc w:val="center"/>
        <w:keepLines w:val="0"/>
        <w:keepNext w:val="0"/>
        <w:pageBreakBefore w:val="0"/>
        <w:spacing w:line="500" w:lineRule="exact"/>
        <w:widowControl/>
        <w:rPr>
          <w:rFonts w:hint="eastAsia" w:ascii="黑体" w:hAnsi="黑体" w:eastAsia="黑体" w:cs="黑体"/>
          <w:i/>
          <w:color w:val="auto"/>
          <w:sz w:val="32"/>
          <w:szCs w:val="32"/>
          <w:highlight w:val="none"/>
          <w:u w:val="single"/>
        </w:rPr>
      </w:pPr>
      <w:r>
        <w:rPr>
          <w:rFonts w:hint="eastAsia" w:ascii="宋体" w:hAnsi="宋体" w:eastAsia="宋体" w:cs="宋体"/>
          <w:b/>
          <w:color w:val="auto"/>
          <w:sz w:val="32"/>
          <w:szCs w:val="32"/>
          <w:highlight w:val="none"/>
        </w:rPr>
        <w:br w:type="page" w:clear="all"/>
      </w:r>
      <w:r>
        <w:rPr>
          <w:rFonts w:hint="eastAsia" w:ascii="黑体" w:hAnsi="黑体" w:eastAsia="黑体" w:cs="黑体"/>
          <w:i/>
          <w:color w:val="auto"/>
          <w:sz w:val="32"/>
          <w:szCs w:val="32"/>
          <w:highlight w:val="none"/>
          <w:u w:val="single"/>
        </w:rPr>
        <w:t xml:space="preserve">一、法人或者其他组织的营业执照等证明文件，自然人的   身份证明</w:t>
      </w:r>
      <w:r/>
    </w:p>
    <w:p>
      <w:pPr>
        <w:jc w:val="center"/>
        <w:spacing w:before="180"/>
        <w:widowControl/>
        <w:rPr>
          <w:rFonts w:hint="eastAsia" w:asciiTheme="minorEastAsia" w:hAnsiTheme="minorEastAsia" w:cstheme="minorEastAsia"/>
          <w:b/>
          <w:bCs/>
          <w:color w:val="auto"/>
          <w:sz w:val="32"/>
          <w:szCs w:val="32"/>
          <w:highlight w:val="none"/>
        </w:rPr>
      </w:pPr>
      <w:r>
        <w:rPr>
          <w:rFonts w:hint="eastAsia" w:asciiTheme="minorEastAsia" w:hAnsiTheme="minorEastAsia" w:cstheme="minorEastAsia"/>
          <w:b/>
          <w:bCs/>
          <w:color w:val="auto"/>
          <w:sz w:val="32"/>
          <w:szCs w:val="32"/>
          <w:highlight w:val="none"/>
        </w:rPr>
        <w:t xml:space="preserve"> </w:t>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line="500" w:lineRule="exact"/>
        <w:widowControl/>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t xml:space="preserve">二、上一年度的财务状况报告</w:t>
      </w:r>
      <w:r/>
    </w:p>
    <w:p>
      <w:pPr>
        <w:jc w:val="center"/>
        <w:keepLines w:val="0"/>
        <w:keepNext w:val="0"/>
        <w:pageBreakBefore w:val="0"/>
        <w:spacing w:line="500" w:lineRule="exact"/>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pStyle w:val="791"/>
        <w:ind w:firstLine="492"/>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before="180" w:afterAutospacing="0" w:line="5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三、具备履行合同所必需的设备和专业技术能力的书面声明</w:t>
      </w:r>
      <w:r/>
    </w:p>
    <w:p>
      <w:pPr>
        <w:pStyle w:val="791"/>
        <w:ind w:firstLine="480"/>
        <w:jc w:val="both"/>
        <w:keepLines w:val="0"/>
        <w:keepNext w:val="0"/>
        <w:pageBreakBefore w:val="0"/>
        <w:spacing w:before="0" w:after="0" w:afterAutospacing="0"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91"/>
        <w:ind w:firstLine="480"/>
        <w:jc w:val="both"/>
        <w:keepLines w:val="0"/>
        <w:keepNext w:val="0"/>
        <w:pageBreakBefore w:val="0"/>
        <w:spacing w:before="0" w:after="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91"/>
        <w:ind w:firstLine="480"/>
        <w:jc w:val="both"/>
        <w:keepLines w:val="0"/>
        <w:keepNext w:val="0"/>
        <w:pageBreakBefore w:val="0"/>
        <w:spacing w:before="0" w:after="0" w:afterAutospacing="0"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791"/>
        <w:ind w:firstLine="492"/>
        <w:jc w:val="center"/>
        <w:widowControl/>
        <w:rPr>
          <w:rFonts w:hint="eastAsia" w:ascii="方正小标宋_GBK" w:hAnsi="宋体" w:eastAsia="方正小标宋_GBK" w:cs="宋体"/>
          <w:iCs/>
          <w:color w:val="auto"/>
          <w:sz w:val="24"/>
          <w:szCs w:val="24"/>
          <w:highlight w:val="none"/>
        </w:rPr>
      </w:pPr>
      <w:r>
        <w:rPr>
          <w:rFonts w:hint="eastAsia" w:ascii="方正小标宋_GBK" w:hAnsi="宋体" w:eastAsia="方正小标宋_GBK" w:cs="宋体"/>
          <w:iCs/>
          <w:color w:val="auto"/>
          <w:sz w:val="24"/>
          <w:szCs w:val="24"/>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keepLines w:val="0"/>
        <w:keepNext w:val="0"/>
        <w:pageBreakBefore w:val="0"/>
        <w:spacing w:before="180" w:afterAutospacing="0" w:line="5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四、依法缴纳税收和社会保障资金的相关材料</w:t>
      </w:r>
      <w:r/>
    </w:p>
    <w:p>
      <w:pPr>
        <w:pStyle w:val="791"/>
        <w:ind w:firstLine="480"/>
        <w:jc w:val="both"/>
        <w:keepLines w:val="0"/>
        <w:keepNext w:val="0"/>
        <w:pageBreakBefore w:val="0"/>
        <w:spacing w:before="0" w:after="0" w:afterAutospacing="0" w:line="5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791"/>
        <w:ind w:firstLine="492"/>
        <w:jc w:val="both"/>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jc w:val="center"/>
        <w:spacing w:before="180"/>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五、参加政府采购活动前3年内在经营活动中没有重大违法 记录的书面声明</w:t>
      </w:r>
      <w:r/>
    </w:p>
    <w:p>
      <w:pPr>
        <w:pStyle w:val="791"/>
        <w:jc w:val="center"/>
        <w:widowControl/>
        <w:rPr>
          <w:rFonts w:ascii="方正小标宋_GBK" w:eastAsia="方正小标宋_GBK"/>
          <w:bCs/>
          <w:color w:val="auto"/>
          <w:highlight w:val="none"/>
        </w:rPr>
      </w:pPr>
      <w:r>
        <w:rPr>
          <w:rFonts w:hint="eastAsia" w:ascii="方正小标宋_GBK" w:hAnsi="宋体" w:eastAsia="方正小标宋_GBK" w:cs="宋体"/>
          <w:bCs/>
          <w:color w:val="auto"/>
          <w:sz w:val="44"/>
          <w:szCs w:val="44"/>
          <w:highlight w:val="none"/>
        </w:rPr>
        <w:t xml:space="preserve">声  明</w:t>
      </w:r>
      <w:r/>
    </w:p>
    <w:p>
      <w:pPr>
        <w:pStyle w:val="791"/>
        <w:ind w:firstLine="480"/>
        <w:jc w:val="both"/>
        <w:spacing w:before="0"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年内，我单位在经营活动中没有因违法经营受到刑事处罚或者责令停产停业、吊销许可证或者执照、较大数额罚款等行政处罚。</w:t>
      </w:r>
      <w:r/>
    </w:p>
    <w:p>
      <w:pPr>
        <w:pStyle w:val="791"/>
        <w:ind w:firstLine="492"/>
        <w:jc w:val="both"/>
        <w:spacing w:line="560" w:lineRule="exact"/>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jc w:val="left"/>
        <w:widowControl/>
        <w:rPr>
          <w:rFonts w:hint="eastAsia" w:ascii="方正小标宋_GBK" w:hAnsi="宋体" w:eastAsia="方正小标宋_GBK" w:cs="黑体"/>
          <w:iCs/>
          <w:color w:val="auto"/>
          <w:sz w:val="30"/>
          <w:szCs w:val="30"/>
          <w:highlight w:val="none"/>
        </w:rPr>
      </w:pPr>
      <w:r>
        <w:rPr>
          <w:rFonts w:ascii="方正小标宋_GBK" w:hAnsi="宋体" w:eastAsia="方正小标宋_GBK" w:cs="黑体"/>
          <w:iCs/>
          <w:color w:val="auto"/>
          <w:sz w:val="30"/>
          <w:szCs w:val="30"/>
          <w:highlight w:val="none"/>
        </w:rPr>
        <w:br w:type="page" w:clear="all"/>
      </w:r>
      <w:r/>
    </w:p>
    <w:p>
      <w:pPr>
        <w:pStyle w:val="977"/>
        <w:numPr>
          <w:ilvl w:val="0"/>
          <w:numId w:val="0"/>
        </w:numPr>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六、单位负责人为同一人或者存在直接控股、管理关系的不同供应商，不得参加同一合同项下的政府采购活动</w:t>
      </w:r>
      <w:r/>
    </w:p>
    <w:p>
      <w:pPr>
        <w:pStyle w:val="791"/>
        <w:jc w:val="center"/>
        <w:widowControl/>
        <w:rPr>
          <w:rFonts w:hint="eastAsia" w:ascii="方正小标宋_GBK" w:hAnsi="宋体" w:eastAsia="方正小标宋_GBK" w:cs="宋体"/>
          <w:bCs/>
          <w:color w:val="auto"/>
          <w:sz w:val="44"/>
          <w:szCs w:val="44"/>
          <w:highlight w:val="none"/>
        </w:rPr>
      </w:pPr>
      <w:r>
        <w:rPr>
          <w:rFonts w:hint="eastAsia" w:ascii="方正小标宋_GBK" w:hAnsi="宋体" w:eastAsia="方正小标宋_GBK" w:cs="宋体"/>
          <w:bCs/>
          <w:color w:val="auto"/>
          <w:sz w:val="44"/>
          <w:szCs w:val="44"/>
          <w:highlight w:val="none"/>
        </w:rPr>
        <w:t xml:space="preserve">声 明</w:t>
      </w:r>
      <w:r/>
    </w:p>
    <w:p>
      <w:pPr>
        <w:pStyle w:val="977"/>
        <w:ind w:firstLine="482"/>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791"/>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91"/>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91"/>
        <w:jc w:val="center"/>
        <w:spacing w:beforeAutospacing="0" w:afterAutospacing="0"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ind w:left="4620"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76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jc w:val="left"/>
        <w:widowControl/>
        <w:rPr>
          <w:rFonts w:hint="eastAsia" w:cs="Times New Roman" w:asciiTheme="minorEastAsia" w:hAnsiTheme="minorEastAsia"/>
          <w:color w:val="auto"/>
          <w:sz w:val="32"/>
          <w:szCs w:val="32"/>
          <w:highlight w:val="none"/>
        </w:rPr>
      </w:pPr>
      <w:r>
        <w:rPr>
          <w:rFonts w:asciiTheme="minorEastAsia" w:hAnsiTheme="minorEastAsia"/>
          <w:color w:val="auto"/>
          <w:highlight w:val="none"/>
        </w:rPr>
        <w:br w:type="page" w:clear="all"/>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七、特定资格要求的证明文件</w:t>
      </w:r>
      <w:r/>
    </w:p>
    <w:p>
      <w:pPr>
        <w:numPr>
          <w:ilvl w:val="0"/>
          <w:numId w:val="0"/>
        </w:numPr>
        <w:jc w:val="center"/>
        <w:keepLines w:val="0"/>
        <w:keepNext w:val="0"/>
        <w:pageBreakBefore w:val="0"/>
        <w:spacing w:before="180" w:afterAutospacing="0"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如果本项目申请人的特定资格要求中要求提供的，必须提供。</w:t>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八、法人授权书</w:t>
      </w:r>
      <w:r/>
    </w:p>
    <w:p>
      <w:pPr>
        <w:pStyle w:val="791"/>
        <w:ind w:firstLine="480"/>
        <w:jc w:val="both"/>
        <w:spacing w:before="0" w:after="0"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（被授权人的姓名）为我方就</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pStyle w:val="977"/>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77"/>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977"/>
        <w:ind w:firstLine="480"/>
        <w:jc w:val="both"/>
        <w:spacing w:beforeAutospacing="0" w:afterAutospacing="0" w:line="500" w:lineRule="exact"/>
        <w:tabs>
          <w:tab w:val="left" w:pos="360"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（手机）    </w:t>
      </w:r>
      <w:r>
        <w:rPr>
          <w:rFonts w:hint="eastAsia" w:ascii="宋体" w:hAnsi="宋体" w:eastAsia="宋体" w:cs="宋体"/>
          <w:color w:val="auto"/>
          <w:highlight w:val="none"/>
          <w:u w:val="single"/>
          <w:lang w:val="en-US" w:eastAsia="zh-CN"/>
        </w:rPr>
        <w:t xml:space="preserve"> </w:t>
      </w:r>
      <w:r/>
    </w:p>
    <w:p>
      <w:pPr>
        <w:pStyle w:val="977"/>
        <w:ind w:firstLine="480"/>
        <w:jc w:val="both"/>
        <w:spacing w:beforeAutospacing="0" w:afterAutospacing="0" w:line="500" w:lineRule="exact"/>
        <w:tabs>
          <w:tab w:val="left" w:pos="3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（加盖CA电子公章）</w:t>
      </w:r>
      <w:r>
        <w:rPr>
          <w:rFonts w:hint="eastAsia" w:ascii="宋体" w:hAnsi="宋体" w:eastAsia="宋体" w:cs="宋体"/>
          <w:color w:val="auto"/>
          <w:highlight w:val="none"/>
          <w:u w:val="single"/>
          <w:lang w:val="en-US" w:eastAsia="zh-CN"/>
        </w:rPr>
        <w:t xml:space="preserve">     </w:t>
      </w:r>
      <w:r/>
    </w:p>
    <w:p>
      <w:pPr>
        <w:pStyle w:val="977"/>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977"/>
        <w:ind w:firstLine="480"/>
        <w:jc w:val="both"/>
        <w:spacing w:beforeAutospacing="0" w:afterAutospacing="0" w:line="5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br w:type="page" w:clear="all"/>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九、投标函</w:t>
      </w:r>
      <w:r/>
    </w:p>
    <w:p>
      <w:pPr>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致：盐城市</w:t>
      </w:r>
      <w:r>
        <w:rPr>
          <w:rFonts w:hint="eastAsia" w:ascii="宋体" w:hAnsi="宋体" w:cs="宋体"/>
          <w:color w:val="auto"/>
          <w:sz w:val="24"/>
          <w:highlight w:val="none"/>
          <w:lang w:val="en-US" w:eastAsia="zh-CN"/>
        </w:rPr>
        <w:t xml:space="preserve">妇幼保健院</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rPr>
        <w:t xml:space="preserve">JSZC-320900-RHHH-G2025-0141</w:t>
      </w:r>
      <w:r>
        <w:rPr>
          <w:rFonts w:hint="eastAsia" w:ascii="宋体" w:hAnsi="宋体" w:eastAsia="宋体" w:cs="宋体"/>
          <w:color w:val="auto"/>
          <w:sz w:val="24"/>
          <w:highlight w:val="none"/>
        </w:rPr>
        <w:t xml:space="preserve">号招标文件，正式授权下述签</w:t>
      </w:r>
      <w:r>
        <w:rPr>
          <w:rFonts w:hint="eastAsia" w:ascii="宋体" w:hAnsi="宋体" w:eastAsia="宋体" w:cs="宋体"/>
          <w:color w:val="auto"/>
          <w:sz w:val="24"/>
          <w:highlight w:val="none"/>
          <w:lang w:val="en-US" w:eastAsia="zh-CN"/>
        </w:rPr>
        <w:t xml:space="preserve">字</w:t>
      </w:r>
      <w:r>
        <w:rPr>
          <w:rFonts w:hint="eastAsia" w:ascii="宋体" w:hAnsi="宋体" w:eastAsia="宋体" w:cs="宋体"/>
          <w:color w:val="auto"/>
          <w:sz w:val="24"/>
          <w:highlight w:val="none"/>
        </w:rPr>
        <w:t xml:space="preserve">人</w:t>
      </w:r>
      <w:r/>
    </w:p>
    <w:p>
      <w:pPr>
        <w:jc w:val="left"/>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(姓名)代表我方______________（投标人的名称），全权处理本次项目投标的有关事宜。</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据此函，__________签字人兹宣布同意如下：</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我方将根据招标文件的规定，严格履行合同的责任和义务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并保证在招标文件规定的时间完成项目，交付买方验收、使用。</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址：</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编：</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话：</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真：</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号： </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期：______年____月____日</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Cs/>
          <w:iCs/>
          <w:color w:val="auto"/>
          <w:sz w:val="32"/>
          <w:szCs w:val="32"/>
          <w:highlight w:val="none"/>
        </w:rPr>
      </w:pPr>
      <w:r>
        <w:rPr>
          <w:rFonts w:hint="eastAsia" w:ascii="宋体" w:hAnsi="宋体" w:eastAsia="宋体" w:cs="宋体"/>
          <w:bCs/>
          <w:iCs/>
          <w:color w:val="auto"/>
          <w:sz w:val="32"/>
          <w:szCs w:val="32"/>
          <w:highlight w:val="none"/>
        </w:rPr>
        <w:br w:type="page" w:clear="all"/>
      </w:r>
      <w:r/>
    </w:p>
    <w:p>
      <w:pPr>
        <w:numPr>
          <w:ilvl w:val="0"/>
          <w:numId w:val="0"/>
        </w:numPr>
        <w:jc w:val="center"/>
        <w:keepLines w:val="0"/>
        <w:keepNext w:val="0"/>
        <w:pageBreakBefore w:val="0"/>
        <w:spacing w:before="180" w:afterAutospacing="0" w:line="400" w:lineRule="exact"/>
        <w:widowControl/>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十、中小企业声明函（服务）</w:t>
      </w:r>
      <w:r/>
    </w:p>
    <w:p>
      <w:pPr>
        <w:ind w:firstLine="480"/>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w:t>
      </w:r>
      <w:r>
        <w:rPr>
          <w:rFonts w:hint="eastAsia" w:ascii="宋体" w:hAnsi="宋体" w:cs="宋体"/>
          <w:color w:val="auto"/>
          <w:sz w:val="24"/>
          <w:highlight w:val="none"/>
          <w:lang w:eastAsia="zh-CN"/>
        </w:rPr>
        <w:t xml:space="preserve">〔2020〕46号</w:t>
      </w:r>
      <w:r>
        <w:rPr>
          <w:rFonts w:ascii="宋体" w:hAnsi="宋体" w:cs="宋体"/>
          <w:color w:val="auto"/>
          <w:sz w:val="24"/>
          <w:highlight w:val="none"/>
        </w:rPr>
        <w:t xml:space="preserve">)的规定，本公司</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参加</w:t>
      </w:r>
      <w:r>
        <w:rPr>
          <w:rFonts w:hint="eastAsia" w:ascii="宋体" w:hAnsi="宋体" w:eastAsia="宋体" w:cs="宋体"/>
          <w:color w:val="auto"/>
          <w:sz w:val="24"/>
          <w:szCs w:val="24"/>
          <w:highlight w:val="none"/>
          <w:u w:val="single"/>
          <w:lang w:eastAsia="zh-CN"/>
        </w:rPr>
        <w:t xml:space="preserve">盐城市</w:t>
      </w:r>
      <w:r>
        <w:rPr>
          <w:rFonts w:hint="eastAsia" w:ascii="宋体" w:hAnsi="宋体" w:cs="宋体"/>
          <w:color w:val="auto"/>
          <w:sz w:val="24"/>
          <w:szCs w:val="24"/>
          <w:highlight w:val="none"/>
          <w:u w:val="single"/>
          <w:lang w:val="en-US" w:eastAsia="zh-CN"/>
        </w:rPr>
        <w:t xml:space="preserve">妇幼保健</w:t>
      </w:r>
      <w:r>
        <w:rPr>
          <w:rFonts w:hint="eastAsia" w:ascii="宋体" w:hAnsi="宋体" w:eastAsia="宋体" w:cs="宋体"/>
          <w:color w:val="auto"/>
          <w:sz w:val="24"/>
          <w:szCs w:val="24"/>
          <w:highlight w:val="none"/>
          <w:u w:val="single"/>
          <w:lang w:eastAsia="zh-CN"/>
        </w:rPr>
        <w:t xml:space="preserve">院</w:t>
      </w:r>
      <w:r>
        <w:rPr>
          <w:rFonts w:ascii="宋体" w:hAnsi="宋体" w:cs="宋体"/>
          <w:color w:val="auto"/>
          <w:sz w:val="24"/>
          <w:highlight w:val="none"/>
        </w:rPr>
        <w:t xml:space="preserve">组织的</w:t>
      </w:r>
      <w:r>
        <w:rPr>
          <w:rFonts w:hint="eastAsia" w:ascii="宋体" w:hAnsi="宋体" w:cs="宋体"/>
          <w:color w:val="auto"/>
          <w:sz w:val="24"/>
          <w:highlight w:val="none"/>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JSZC-320900-RHHH-G2025-0141</w:t>
      </w:r>
      <w:r>
        <w:rPr>
          <w:rFonts w:ascii="宋体" w:hAnsi="宋体" w:cs="宋体"/>
          <w:color w:val="auto"/>
          <w:sz w:val="24"/>
          <w:highlight w:val="none"/>
        </w:rPr>
        <w:t xml:space="preserve">，</w:t>
      </w:r>
      <w:r>
        <w:rPr>
          <w:rFonts w:hint="eastAsia" w:ascii="宋体" w:hAnsi="宋体" w:cs="宋体"/>
          <w:color w:val="auto"/>
          <w:sz w:val="24"/>
          <w:highlight w:val="none"/>
          <w:u w:val="single"/>
          <w:lang w:val="en-US" w:eastAsia="zh-CN"/>
        </w:rPr>
        <w:t xml:space="preserve">盐城市妇幼保健院保安服务</w:t>
      </w:r>
      <w:r>
        <w:rPr>
          <w:rFonts w:hint="eastAsia" w:ascii="宋体" w:hAnsi="宋体" w:eastAsia="宋体" w:cs="宋体"/>
          <w:color w:val="auto"/>
          <w:sz w:val="24"/>
          <w:szCs w:val="24"/>
          <w:highlight w:val="none"/>
          <w:u w:val="single"/>
          <w:lang w:eastAsia="zh-CN"/>
        </w:rPr>
        <w:t xml:space="preserve">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outlineLvl w:val="2"/>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ascii="Times New Roman" w:hAnsi="Times New Roman" w:eastAsia="方正楷体_GBK" w:cs="黑体"/>
          <w:i/>
          <w:color w:val="auto"/>
          <w:sz w:val="34"/>
          <w:szCs w:val="32"/>
          <w:u w:val="single"/>
        </w:rPr>
      </w:pPr>
      <w:r>
        <w:rPr>
          <w:rFonts w:ascii="Times New Roman" w:hAnsi="Times New Roman" w:eastAsia="方正小标宋_GBK"/>
          <w:bCs/>
          <w:color w:val="auto"/>
          <w:sz w:val="32"/>
          <w:szCs w:val="32"/>
        </w:rPr>
        <w:br w:type="page" w:clear="all"/>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十一、残疾人福利性单位声明函</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w:t>
      </w:r>
      <w:r>
        <w:rPr>
          <w:rFonts w:hint="eastAsia" w:ascii="宋体" w:hAnsi="宋体" w:eastAsia="宋体" w:cs="宋体"/>
          <w:color w:val="auto"/>
          <w:sz w:val="24"/>
          <w:highlight w:val="none"/>
          <w:u w:val="single"/>
          <w:lang w:eastAsia="zh-CN"/>
        </w:rPr>
        <w:t xml:space="preserve">盐城市</w:t>
      </w:r>
      <w:r>
        <w:rPr>
          <w:rFonts w:hint="eastAsia" w:ascii="宋体" w:hAnsi="宋体" w:cs="宋体"/>
          <w:color w:val="auto"/>
          <w:sz w:val="24"/>
          <w:highlight w:val="none"/>
          <w:u w:val="single"/>
          <w:lang w:val="en-US" w:eastAsia="zh-CN"/>
        </w:rPr>
        <w:t xml:space="preserve">妇幼保健院</w:t>
      </w:r>
      <w:r>
        <w:rPr>
          <w:rFonts w:hint="eastAsia" w:ascii="宋体" w:hAnsi="宋体" w:eastAsia="宋体" w:cs="宋体"/>
          <w:color w:val="auto"/>
          <w:sz w:val="24"/>
          <w:highlight w:val="none"/>
        </w:rPr>
        <w:t xml:space="preserve">的采购文件编号为</w:t>
      </w:r>
      <w:r>
        <w:rPr>
          <w:rFonts w:hint="eastAsia" w:ascii="宋体" w:hAnsi="宋体" w:cs="宋体"/>
          <w:color w:val="auto"/>
          <w:sz w:val="24"/>
          <w:highlight w:val="none"/>
          <w:u w:val="single"/>
          <w:lang w:val="en-US" w:eastAsia="zh-CN"/>
        </w:rPr>
        <w:t xml:space="preserve">JSZC-320900-RHHH-G2025-0141 </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u w:val="single"/>
          <w:lang w:val="en-US" w:eastAsia="zh-CN"/>
        </w:rPr>
        <w:t xml:space="preserve">盐城市妇幼保健院保安服务</w:t>
      </w:r>
      <w:r>
        <w:rPr>
          <w:rFonts w:hint="eastAsia" w:ascii="宋体" w:hAnsi="宋体" w:eastAsia="宋体" w:cs="宋体"/>
          <w:color w:val="auto"/>
          <w:sz w:val="24"/>
          <w:szCs w:val="20"/>
          <w:highlight w:val="none"/>
          <w:u w:val="single"/>
          <w:lang w:eastAsia="zh-CN"/>
        </w:rPr>
        <w:t xml:space="preserve">项目</w:t>
      </w:r>
      <w:r>
        <w:rPr>
          <w:rFonts w:hint="eastAsia" w:ascii="宋体" w:hAnsi="宋体" w:eastAsia="宋体" w:cs="宋体"/>
          <w:color w:val="auto"/>
          <w:sz w:val="24"/>
          <w:highlight w:val="none"/>
        </w:rPr>
        <w:t xml:space="preserve">采购活动由本单位提供服务。</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480"/>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480"/>
        <w:jc w:val="righ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十二、投标分项报价表</w:t>
      </w:r>
      <w:r/>
    </w:p>
    <w:tbl>
      <w:tblPr>
        <w:tblStyle w:val="769"/>
        <w:tblW w:w="9405" w:type="dxa"/>
        <w:tblInd w:w="86" w:type="dxa"/>
        <w:tblLayout w:type="fixed"/>
        <w:tblCellMar>
          <w:left w:w="108" w:type="dxa"/>
          <w:top w:w="0" w:type="dxa"/>
          <w:right w:w="108" w:type="dxa"/>
          <w:bottom w:w="0" w:type="dxa"/>
        </w:tblCellMar>
        <w:tblLook w:val="04A0" w:firstRow="1" w:lastRow="0" w:firstColumn="1" w:lastColumn="0" w:noHBand="0" w:noVBand="1"/>
      </w:tblPr>
      <w:tblGrid>
        <w:gridCol w:w="737"/>
        <w:gridCol w:w="1213"/>
        <w:gridCol w:w="1170"/>
        <w:gridCol w:w="615"/>
        <w:gridCol w:w="1650"/>
        <w:gridCol w:w="1875"/>
        <w:gridCol w:w="2145"/>
      </w:tblGrid>
      <w:tr>
        <w:trPr>
          <w:trHeight w:val="896"/>
        </w:trPr>
        <w:tc>
          <w:tcPr>
            <w:gridSpan w:val="7"/>
            <w:shd w:val="clear" w:color="auto" w:fill="auto"/>
            <w:tcBorders>
              <w:top w:val="none" w:color="000000" w:sz="4" w:space="0"/>
              <w:left w:val="none" w:color="000000" w:sz="4" w:space="0"/>
              <w:bottom w:val="none" w:color="000000" w:sz="4" w:space="0"/>
              <w:right w:val="none" w:color="000000" w:sz="4" w:space="0"/>
            </w:tcBorders>
            <w:tcW w:w="9405" w:type="dxa"/>
            <w:vAlign w:val="center"/>
            <w:textDirection w:val="lrTb"/>
            <w:noWrap/>
          </w:tcPr>
          <w:p>
            <w:pPr>
              <w:ind w:firstLine="562"/>
              <w:jc w:val="center"/>
              <w:keepLines w:val="0"/>
              <w:keepNext w:val="0"/>
              <w:pageBreakBefore w:val="0"/>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 xml:space="preserve">盐城市</w:t>
            </w:r>
            <w:r>
              <w:rPr>
                <w:rFonts w:hint="eastAsia" w:ascii="宋体" w:hAnsi="宋体" w:cs="宋体"/>
                <w:b/>
                <w:bCs/>
                <w:color w:val="auto"/>
                <w:sz w:val="28"/>
                <w:szCs w:val="28"/>
                <w:highlight w:val="none"/>
                <w:lang w:val="en-US" w:eastAsia="zh-CN"/>
              </w:rPr>
              <w:t xml:space="preserve">妇幼保健院保安服务</w:t>
            </w:r>
            <w:r>
              <w:rPr>
                <w:rFonts w:hint="eastAsia" w:ascii="宋体" w:hAnsi="宋体" w:eastAsia="宋体" w:cs="宋体"/>
                <w:b/>
                <w:bCs/>
                <w:color w:val="auto"/>
                <w:sz w:val="28"/>
                <w:szCs w:val="28"/>
                <w:highlight w:val="none"/>
              </w:rPr>
              <w:t xml:space="preserve">项目投标分项报价表</w:t>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岗位名称</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费用</w:t>
            </w:r>
            <w:r/>
          </w:p>
          <w:p>
            <w:pPr>
              <w:jc w:val="center"/>
              <w:keepLines w:val="0"/>
              <w:keepNext w:val="0"/>
              <w:pageBreakBefore w:val="0"/>
              <w:spacing w:line="3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p>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（元/人/月）</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00" w:lineRule="exac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合价</w:t>
            </w:r>
            <w:r/>
          </w:p>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（元/12个月）</w:t>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所有人员工资</w:t>
            </w:r>
            <w:r>
              <w:rPr>
                <w:rFonts w:hint="eastAsia" w:ascii="宋体" w:hAnsi="宋体" w:eastAsia="宋体" w:cs="宋体"/>
                <w:color w:val="auto"/>
                <w:sz w:val="24"/>
                <w:szCs w:val="24"/>
                <w:highlight w:val="none"/>
                <w:lang w:eastAsia="zh-CN"/>
              </w:rPr>
              <w:t xml:space="preserve">单价</w:t>
            </w:r>
            <w:r>
              <w:rPr>
                <w:rFonts w:hint="eastAsia" w:ascii="宋体" w:hAnsi="宋体" w:eastAsia="宋体" w:cs="宋体"/>
                <w:color w:val="auto"/>
                <w:sz w:val="24"/>
                <w:szCs w:val="24"/>
                <w:highlight w:val="none"/>
              </w:rPr>
              <w:t xml:space="preserve">不低于本市最低工资标准2260元/人/每月</w:t>
            </w:r>
            <w:r>
              <w:rPr>
                <w:rFonts w:hint="eastAsia" w:ascii="宋体" w:hAnsi="宋体" w:cs="宋体"/>
                <w:color w:val="auto"/>
                <w:sz w:val="24"/>
                <w:szCs w:val="24"/>
                <w:highlight w:val="none"/>
                <w:lang w:eastAsia="zh-CN"/>
              </w:rPr>
              <w:t xml:space="preserve">。</w:t>
            </w:r>
            <w:r/>
          </w:p>
        </w:tc>
      </w:tr>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top"/>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top"/>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安保负责人</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消防中心</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top"/>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top"/>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top"/>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盐南高新区分院</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三班</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tabs>
                <w:tab w:val="left" w:pos="201"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3"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常日班</w:t>
            </w:r>
            <w:r/>
          </w:p>
        </w:tc>
        <w:tc>
          <w:tcPr>
            <w:shd w:val="clear" w:color="auto" w:fill="auto"/>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人员</w:t>
            </w:r>
            <w:r/>
          </w:p>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工资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社会保险</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所有人员必须足额缴纳社保费用，社保（企业部分）不得低于</w:t>
            </w:r>
            <w:r>
              <w:rPr>
                <w:rFonts w:hint="eastAsia" w:ascii="宋体" w:hAnsi="宋体" w:eastAsia="宋体" w:cs="宋体"/>
                <w:color w:val="auto"/>
                <w:sz w:val="24"/>
                <w:szCs w:val="24"/>
                <w:highlight w:val="none"/>
                <w:lang w:val="en-US" w:eastAsia="zh-CN"/>
              </w:rPr>
              <w:t xml:space="preserve">1292.47</w:t>
            </w:r>
            <w:r>
              <w:rPr>
                <w:rFonts w:hint="eastAsia" w:ascii="宋体" w:hAnsi="宋体" w:eastAsia="宋体" w:cs="宋体"/>
                <w:color w:val="auto"/>
                <w:sz w:val="24"/>
                <w:szCs w:val="24"/>
                <w:highlight w:val="none"/>
              </w:rPr>
              <w:t xml:space="preserve">元/人/每月</w:t>
            </w:r>
            <w:r>
              <w:rPr>
                <w:rFonts w:hint="eastAsia" w:ascii="宋体" w:hAnsi="宋体" w:eastAsia="宋体" w:cs="宋体"/>
                <w:color w:val="auto"/>
                <w:sz w:val="24"/>
                <w:szCs w:val="24"/>
                <w:highlight w:val="none"/>
                <w:lang w:eastAsia="zh-CN"/>
              </w:rPr>
              <w:t xml:space="preserve">。</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住房公积金</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住房公积金不得低于</w:t>
            </w:r>
            <w:r>
              <w:rPr>
                <w:rFonts w:hint="eastAsia" w:ascii="宋体" w:hAnsi="宋体" w:eastAsia="宋体" w:cs="宋体"/>
                <w:color w:val="auto"/>
                <w:sz w:val="24"/>
                <w:szCs w:val="24"/>
                <w:highlight w:val="none"/>
                <w:lang w:val="en-US" w:eastAsia="zh-CN"/>
              </w:rPr>
              <w:t xml:space="preserve">114</w:t>
            </w:r>
            <w:r>
              <w:rPr>
                <w:rFonts w:hint="eastAsia" w:ascii="宋体" w:hAnsi="宋体" w:eastAsia="宋体" w:cs="宋体"/>
                <w:color w:val="auto"/>
                <w:sz w:val="24"/>
                <w:szCs w:val="24"/>
                <w:highlight w:val="none"/>
              </w:rPr>
              <w:t xml:space="preserve">元/人/每月</w:t>
            </w:r>
            <w:r>
              <w:rPr>
                <w:rFonts w:hint="eastAsia" w:ascii="宋体" w:hAnsi="宋体" w:eastAsia="宋体" w:cs="宋体"/>
                <w:color w:val="auto"/>
                <w:sz w:val="24"/>
                <w:szCs w:val="24"/>
                <w:highlight w:val="none"/>
                <w:lang w:eastAsia="zh-CN"/>
              </w:rPr>
              <w:t xml:space="preserve">。</w:t>
            </w:r>
            <w:r/>
          </w:p>
        </w:tc>
      </w:tr>
      <w:tr>
        <w:trPr>
          <w:trHeight w:val="120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法定节假日加班费不得低于4052.41元/人/每年，</w:t>
            </w:r>
            <w:r>
              <w:rPr>
                <w:rFonts w:hint="eastAsia" w:ascii="宋体" w:hAnsi="宋体" w:eastAsia="宋体" w:cs="宋体"/>
                <w:color w:val="auto"/>
                <w:sz w:val="24"/>
                <w:szCs w:val="24"/>
                <w:highlight w:val="none"/>
                <w:lang w:val="en-US" w:eastAsia="zh-CN"/>
              </w:rPr>
              <w:t xml:space="preserve">人数</w:t>
            </w:r>
            <w:r>
              <w:rPr>
                <w:rFonts w:hint="eastAsia" w:ascii="宋体" w:hAnsi="宋体" w:eastAsia="宋体" w:cs="宋体"/>
                <w:color w:val="auto"/>
                <w:sz w:val="24"/>
                <w:szCs w:val="24"/>
                <w:highlight w:val="none"/>
              </w:rPr>
              <w:t xml:space="preserve">按</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人数加班计算。</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综合管理费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）*税</w:t>
            </w:r>
            <w:r>
              <w:rPr>
                <w:rFonts w:hint="eastAsia" w:ascii="宋体" w:hAnsi="宋体" w:eastAsia="宋体" w:cs="宋体"/>
                <w:color w:val="auto"/>
                <w:sz w:val="24"/>
                <w:szCs w:val="24"/>
                <w:highlight w:val="none"/>
                <w:lang w:val="en-US" w:eastAsia="zh-CN"/>
              </w:rPr>
              <w:t xml:space="preserve">金费率，</w:t>
            </w:r>
            <w:r>
              <w:rPr>
                <w:rFonts w:hint="eastAsia" w:ascii="宋体" w:hAnsi="宋体" w:eastAsia="宋体" w:cs="宋体"/>
                <w:color w:val="auto"/>
                <w:sz w:val="24"/>
                <w:szCs w:val="24"/>
                <w:highlight w:val="none"/>
              </w:rPr>
              <w:t xml:space="preserve">税</w:t>
            </w:r>
            <w:r>
              <w:rPr>
                <w:rFonts w:hint="eastAsia" w:ascii="宋体" w:hAnsi="宋体" w:eastAsia="宋体" w:cs="宋体"/>
                <w:color w:val="auto"/>
                <w:sz w:val="24"/>
                <w:szCs w:val="24"/>
                <w:highlight w:val="none"/>
                <w:lang w:val="en-US" w:eastAsia="zh-CN"/>
              </w:rPr>
              <w:t xml:space="preserve">金费率不得低于</w:t>
            </w:r>
            <w:r>
              <w:rPr>
                <w:rFonts w:hint="eastAsia" w:ascii="宋体" w:hAnsi="宋体" w:eastAsia="宋体" w:cs="宋体"/>
                <w:color w:val="auto"/>
                <w:sz w:val="24"/>
                <w:szCs w:val="24"/>
                <w:highlight w:val="none"/>
              </w:rPr>
              <w:t xml:space="preserve">6.72%</w:t>
            </w:r>
            <w:r>
              <w:rPr>
                <w:rFonts w:hint="eastAsia" w:ascii="宋体" w:hAnsi="宋体" w:eastAsia="宋体" w:cs="宋体"/>
                <w:color w:val="auto"/>
                <w:sz w:val="24"/>
                <w:szCs w:val="24"/>
                <w:highlight w:val="none"/>
                <w:lang w:eastAsia="zh-CN"/>
              </w:rPr>
              <w:t xml:space="preserve">。</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一年总费用</w:t>
            </w:r>
            <w:r>
              <w:rPr>
                <w:rFonts w:hint="eastAsia" w:ascii="宋体" w:hAnsi="宋体" w:eastAsia="宋体" w:cs="宋体"/>
                <w:b w:val="0"/>
                <w:bCs w:val="0"/>
                <w:color w:val="auto"/>
                <w:sz w:val="24"/>
                <w:szCs w:val="24"/>
                <w:highlight w:val="none"/>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00" w:lineRule="exact"/>
              <w:widowControl/>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rPr>
              <w:t xml:space="preserve">=（一+二+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六</w:t>
            </w:r>
            <w:r>
              <w:rPr>
                <w:rFonts w:hint="eastAsia" w:ascii="宋体" w:hAnsi="宋体" w:eastAsia="宋体" w:cs="宋体"/>
                <w:b w:val="0"/>
                <w:bCs w:val="0"/>
                <w:color w:val="auto"/>
                <w:sz w:val="24"/>
                <w:szCs w:val="24"/>
                <w:highlight w:val="none"/>
              </w:rPr>
              <w:t xml:space="preserve">）</w:t>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keepLines w:val="0"/>
              <w:keepNext w:val="0"/>
              <w:pageBreakBefore w:val="0"/>
              <w:spacing w:line="3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两年总费用</w:t>
            </w:r>
            <w:r>
              <w:rPr>
                <w:rFonts w:hint="eastAsia" w:ascii="宋体" w:hAnsi="宋体" w:eastAsia="宋体" w:cs="宋体"/>
                <w:b w:val="0"/>
                <w:bCs w:val="0"/>
                <w:color w:val="auto"/>
                <w:sz w:val="24"/>
                <w:szCs w:val="24"/>
                <w:highlight w:val="none"/>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tcPr>
          <w:p>
            <w:pPr>
              <w:jc w:val="left"/>
              <w:keepLines w:val="0"/>
              <w:keepNext w:val="0"/>
              <w:pageBreakBefore w:val="0"/>
              <w:spacing w:line="3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八=七*2年</w:t>
            </w:r>
            <w:r/>
          </w:p>
        </w:tc>
      </w:tr>
    </w:tbl>
    <w:p>
      <w:pPr>
        <w:ind w:firstLine="470"/>
        <w:spacing w:line="500" w:lineRule="exact"/>
        <w:rPr>
          <w:rFonts w:hint="eastAsia" w:ascii="宋体" w:hAnsi="宋体" w:eastAsia="宋体" w:cs="宋体"/>
          <w:b/>
          <w:color w:val="auto"/>
          <w:sz w:val="24"/>
          <w:szCs w:val="24"/>
          <w:highlight w:val="none"/>
        </w:rPr>
      </w:pPr>
      <w:r>
        <w:rPr>
          <w:rFonts w:hint="eastAsia" w:ascii="宋体" w:hAnsi="宋体" w:eastAsia="宋体" w:cs="宋体"/>
          <w:b/>
          <w:bCs w:val="0"/>
          <w:i/>
          <w:iCs/>
          <w:color w:val="auto"/>
          <w:sz w:val="24"/>
          <w:szCs w:val="24"/>
          <w:highlight w:val="none"/>
          <w:u w:val="single"/>
        </w:rPr>
        <w:t xml:space="preserve">注：投标人所提供人员的费用不得低于上述标准进行测算，否则视为未实质性响应招标文件要求</w:t>
      </w:r>
      <w:r>
        <w:rPr>
          <w:rFonts w:hint="eastAsia" w:ascii="宋体" w:hAnsi="宋体" w:eastAsia="宋体" w:cs="宋体"/>
          <w:b/>
          <w:i/>
          <w:iCs/>
          <w:color w:val="auto"/>
          <w:sz w:val="24"/>
          <w:szCs w:val="24"/>
          <w:highlight w:val="none"/>
        </w:rPr>
        <w:t xml:space="preserve">。</w:t>
      </w:r>
      <w:r>
        <w:rPr>
          <w:rFonts w:hint="eastAsia" w:ascii="宋体" w:hAnsi="宋体" w:eastAsia="宋体" w:cs="宋体"/>
          <w:b/>
          <w:color w:val="auto"/>
          <w:sz w:val="24"/>
          <w:szCs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7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70"/>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7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企业名称（加盖CA电子公章）：</w:t>
      </w:r>
      <w:r/>
    </w:p>
    <w:p>
      <w:pPr>
        <w:ind w:firstLine="720"/>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t xml:space="preserve">日  期：</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十三、技术要求响应及偏离表</w:t>
      </w:r>
      <w:r/>
    </w:p>
    <w:p>
      <w:pPr>
        <w:pStyle w:val="977"/>
        <w:jc w:val="both"/>
        <w:spacing w:beforeAutospacing="0" w:afterAutospacing="0"/>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6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369"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240"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679"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679"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770"/>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0"/>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779"/>
        </w:trPr>
        <w:tc>
          <w:tcPr>
            <w:tcW w:w="81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69" w:type="dxa"/>
            <w:vAlign w:val="center"/>
            <w:textDirection w:val="lrTb"/>
            <w:noWrap/>
          </w:tcPr>
          <w:p>
            <w:pPr>
              <w:pStyle w:val="977"/>
              <w:ind w:firstLine="48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2240"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679"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7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77"/>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i/>
          <w:color w:val="auto"/>
          <w:sz w:val="32"/>
          <w:szCs w:val="32"/>
          <w:highlight w:val="none"/>
          <w:u w:val="single"/>
          <w:lang w:val="en-US" w:eastAsia="zh-CN" w:bidi="ar-SA"/>
        </w:rPr>
        <w:t xml:space="preserve">十四、商务要求响应及偏离表</w:t>
      </w:r>
      <w:r/>
    </w:p>
    <w:p>
      <w:pPr>
        <w:pStyle w:val="977"/>
        <w:jc w:val="both"/>
        <w:spacing w:beforeAutospacing="0" w:afterAutospacing="0"/>
        <w:rPr>
          <w:rFonts w:hint="eastAsia" w:ascii="宋体" w:hAnsi="宋体" w:eastAsia="宋体" w:cs="宋体"/>
          <w:bCs/>
          <w:i/>
          <w:color w:val="auto"/>
          <w:sz w:val="13"/>
          <w:szCs w:val="13"/>
          <w:highlight w:val="none"/>
          <w:u w:val="single"/>
        </w:rPr>
      </w:pPr>
      <w:r>
        <w:rPr>
          <w:rFonts w:hint="eastAsia" w:ascii="宋体" w:hAnsi="宋体" w:eastAsia="宋体" w:cs="宋体"/>
          <w:bCs/>
          <w:i/>
          <w:color w:val="auto"/>
          <w:sz w:val="13"/>
          <w:szCs w:val="13"/>
          <w:highlight w:val="none"/>
          <w:u w:val="single"/>
        </w:rPr>
      </w:r>
      <w:r/>
    </w:p>
    <w:tbl>
      <w:tblPr>
        <w:tblStyle w:val="769"/>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011"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2304"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1872"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813" w:type="dxa"/>
            <w:vAlign w:val="center"/>
            <w:textDirection w:val="lrTb"/>
            <w:noWrap/>
          </w:tcPr>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977"/>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80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0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826"/>
        </w:trPr>
        <w:tc>
          <w:tcPr>
            <w:tcW w:w="777"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011"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2304"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72"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tcW w:w="1813" w:type="dxa"/>
            <w:vAlign w:val="center"/>
            <w:textDirection w:val="lrTb"/>
            <w:noWrap/>
          </w:tcPr>
          <w:p>
            <w:pPr>
              <w:pStyle w:val="977"/>
              <w:ind w:firstLine="600"/>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977"/>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977"/>
        <w:ind w:firstLine="60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7"/>
        <w:jc w:val="center"/>
        <w:spacing w:beforeAutospacing="0" w:afterAutospacing="0" w:line="0" w:lineRule="atLeast"/>
        <w:rPr>
          <w:rFonts w:hint="eastAsia" w:ascii="宋体" w:hAnsi="宋体" w:eastAsia="宋体" w:cs="宋体"/>
          <w:bCs/>
          <w:color w:val="auto"/>
          <w:sz w:val="32"/>
          <w:szCs w:val="32"/>
          <w:highlight w:val="none"/>
        </w:rPr>
      </w:pPr>
      <w:r>
        <w:rPr>
          <w:rFonts w:hint="eastAsia" w:ascii="宋体" w:hAnsi="宋体" w:eastAsia="宋体" w:cs="宋体"/>
          <w:b/>
          <w:i/>
          <w:color w:val="auto"/>
          <w:sz w:val="32"/>
          <w:szCs w:val="32"/>
          <w:highlight w:val="none"/>
          <w:u w:val="single"/>
        </w:rPr>
        <w:br w:type="page" w:clear="all"/>
      </w:r>
      <w:r>
        <w:rPr>
          <w:rFonts w:hint="eastAsia" w:ascii="黑体" w:hAnsi="黑体" w:eastAsia="黑体" w:cs="黑体"/>
          <w:i/>
          <w:color w:val="auto"/>
          <w:sz w:val="32"/>
          <w:szCs w:val="32"/>
          <w:highlight w:val="none"/>
          <w:u w:val="single"/>
          <w:lang w:val="en-US" w:eastAsia="zh-CN" w:bidi="ar-SA"/>
        </w:rPr>
        <w:t xml:space="preserve">十五、开标一览表</w:t>
      </w:r>
      <w:r/>
    </w:p>
    <w:p>
      <w:pPr>
        <w:pStyle w:val="977"/>
        <w:ind w:firstLine="482"/>
        <w:jc w:val="both"/>
        <w:keepLines w:val="0"/>
        <w:keepNext w:val="0"/>
        <w:pageBreakBefore w:val="0"/>
        <w:spacing w:beforeAutospacing="0" w:afterAutospacing="0" w:line="500" w:lineRule="exact"/>
        <w:widowControl/>
        <w:rPr>
          <w:rFonts w:hint="eastAsia"/>
          <w:color w:val="auto"/>
          <w:highlight w:val="none"/>
        </w:rPr>
      </w:pPr>
      <w:r>
        <w:rPr>
          <w:rFonts w:hint="eastAsia"/>
          <w:color w:val="auto"/>
          <w:highlight w:val="none"/>
        </w:rPr>
      </w:r>
      <w:r/>
    </w:p>
    <w:p>
      <w:pPr>
        <w:pStyle w:val="977"/>
        <w:ind w:firstLine="482"/>
        <w:jc w:val="both"/>
        <w:keepLines w:val="0"/>
        <w:keepNext w:val="0"/>
        <w:pageBreakBefore w:val="0"/>
        <w:spacing w:beforeAutospacing="0" w:afterAutospacing="0" w:line="500" w:lineRule="exact"/>
        <w:widowControl/>
        <w:rPr>
          <w:color w:val="auto"/>
          <w:highlight w:val="none"/>
        </w:rPr>
      </w:pPr>
      <w:r>
        <w:rPr>
          <w:rFonts w:hint="eastAsia"/>
          <w:color w:val="auto"/>
          <w:highlight w:val="none"/>
        </w:rPr>
        <w:t xml:space="preserve">项目名称：</w:t>
      </w:r>
      <w:r/>
    </w:p>
    <w:p>
      <w:pPr>
        <w:pStyle w:val="977"/>
        <w:ind w:firstLine="482"/>
        <w:jc w:val="both"/>
        <w:keepLines w:val="0"/>
        <w:keepNext w:val="0"/>
        <w:pageBreakBefore w:val="0"/>
        <w:spacing w:beforeAutospacing="0" w:afterAutospacing="0" w:line="500" w:lineRule="exact"/>
        <w:widowControl/>
        <w:rPr>
          <w:color w:val="auto"/>
          <w:highlight w:val="none"/>
        </w:rPr>
      </w:pPr>
      <w:r>
        <w:rPr>
          <w:rFonts w:hint="eastAsia"/>
          <w:color w:val="auto"/>
          <w:highlight w:val="none"/>
          <w:lang w:val="en-US" w:eastAsia="zh-CN"/>
        </w:rPr>
        <w:t xml:space="preserve">货币单位：人民币元</w:t>
      </w:r>
      <w:r>
        <w:rPr>
          <w:rFonts w:hint="eastAsia"/>
          <w:color w:val="auto"/>
          <w:highlight w:val="none"/>
        </w:rPr>
        <w:t xml:space="preserve">   </w:t>
      </w:r>
      <w:r/>
    </w:p>
    <w:tbl>
      <w:tblPr>
        <w:tblStyle w:val="769"/>
        <w:tblW w:w="8900"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6"/>
        <w:gridCol w:w="3945"/>
        <w:gridCol w:w="2919"/>
      </w:tblGrid>
      <w:tr>
        <w:trPr>
          <w:tblCellSpacing w:w="0" w:type="dxa"/>
          <w:trHeight w:val="1158"/>
        </w:trPr>
        <w:tc>
          <w:tcPr>
            <w:tcW w:w="2036" w:type="dxa"/>
            <w:vAlign w:val="center"/>
            <w:textDirection w:val="lrTb"/>
            <w:noWrap/>
          </w:tcPr>
          <w:p>
            <w:pPr>
              <w:pStyle w:val="977"/>
              <w:jc w:val="center"/>
              <w:spacing w:beforeAutospacing="0" w:afterAutospacing="0" w:line="400" w:lineRule="exact"/>
              <w:rPr>
                <w:rFonts w:hint="default" w:eastAsia="宋体"/>
                <w:color w:val="auto"/>
                <w:highlight w:val="none"/>
                <w:lang w:val="en-US" w:eastAsia="zh-CN"/>
              </w:rPr>
            </w:pPr>
            <w:r>
              <w:rPr>
                <w:rFonts w:hint="eastAsia"/>
                <w:color w:val="auto"/>
                <w:highlight w:val="none"/>
                <w:lang w:val="en-US" w:eastAsia="zh-CN"/>
              </w:rPr>
              <w:t xml:space="preserve">项目名称</w:t>
            </w:r>
            <w:r/>
          </w:p>
        </w:tc>
        <w:tc>
          <w:tcPr>
            <w:tcW w:w="3945" w:type="dxa"/>
            <w:vAlign w:val="center"/>
            <w:textDirection w:val="lrTb"/>
            <w:noWrap/>
          </w:tcPr>
          <w:p>
            <w:pPr>
              <w:pStyle w:val="977"/>
              <w:jc w:val="center"/>
              <w:spacing w:beforeAutospacing="0" w:afterAutospacing="0" w:line="400" w:lineRule="exact"/>
              <w:rPr>
                <w:rFonts w:hint="default" w:eastAsia="宋体"/>
                <w:color w:val="auto"/>
                <w:highlight w:val="none"/>
                <w:lang w:val="en-US" w:eastAsia="zh-CN"/>
              </w:rPr>
            </w:pPr>
            <w:r>
              <w:rPr>
                <w:rFonts w:hint="eastAsia"/>
                <w:color w:val="auto"/>
                <w:highlight w:val="none"/>
                <w:lang w:val="en-US" w:eastAsia="zh-CN"/>
              </w:rPr>
              <w:t xml:space="preserve">项目内容</w:t>
            </w:r>
            <w:r/>
          </w:p>
        </w:tc>
        <w:tc>
          <w:tcPr>
            <w:tcW w:w="2919" w:type="dxa"/>
            <w:vAlign w:val="center"/>
            <w:textDirection w:val="lrTb"/>
            <w:noWrap/>
          </w:tcPr>
          <w:p>
            <w:pPr>
              <w:pStyle w:val="977"/>
              <w:jc w:val="center"/>
              <w:spacing w:beforeAutospacing="0" w:afterAutospacing="0" w:line="400" w:lineRule="exact"/>
              <w:rPr>
                <w:rFonts w:hint="eastAsia" w:eastAsia="宋体"/>
                <w:color w:val="auto"/>
                <w:highlight w:val="none"/>
                <w:lang w:val="en-US" w:eastAsia="zh-CN"/>
              </w:rPr>
            </w:pPr>
            <w:r>
              <w:rPr>
                <w:rFonts w:hint="eastAsia"/>
                <w:color w:val="auto"/>
                <w:highlight w:val="none"/>
                <w:lang w:val="en-US" w:eastAsia="zh-CN"/>
              </w:rPr>
              <w:t xml:space="preserve">总价（小写）</w:t>
            </w:r>
            <w:r/>
          </w:p>
        </w:tc>
      </w:tr>
      <w:tr>
        <w:trPr>
          <w:tblCellSpacing w:w="0" w:type="dxa"/>
          <w:trHeight w:val="1070"/>
        </w:trPr>
        <w:tc>
          <w:tcPr>
            <w:tcW w:w="2036" w:type="dxa"/>
            <w:vAlign w:val="center"/>
            <w:textDirection w:val="lrTb"/>
            <w:noWrap/>
          </w:tcPr>
          <w:p>
            <w:pPr>
              <w:pStyle w:val="977"/>
              <w:jc w:val="center"/>
              <w:spacing w:beforeAutospacing="0" w:afterAutospacing="0" w:line="400" w:lineRule="exact"/>
              <w:rPr>
                <w:color w:val="auto"/>
                <w:highlight w:val="none"/>
              </w:rPr>
            </w:pPr>
            <w:r>
              <w:rPr>
                <w:rFonts w:hint="eastAsia"/>
                <w:color w:val="auto"/>
                <w:highlight w:val="none"/>
                <w:lang w:val="en-US" w:eastAsia="zh-CN"/>
              </w:rPr>
              <w:t xml:space="preserve">项目名称</w:t>
            </w:r>
            <w:r/>
          </w:p>
        </w:tc>
        <w:tc>
          <w:tcPr>
            <w:tcW w:w="3945" w:type="dxa"/>
            <w:vAlign w:val="center"/>
            <w:textDirection w:val="lrTb"/>
            <w:noWrap/>
          </w:tcPr>
          <w:p>
            <w:pPr>
              <w:pStyle w:val="977"/>
              <w:jc w:val="center"/>
              <w:spacing w:beforeAutospacing="0" w:afterAutospacing="0" w:line="400" w:lineRule="exact"/>
              <w:rPr>
                <w:rFonts w:hint="default" w:eastAsia="宋体"/>
                <w:color w:val="auto"/>
                <w:highlight w:val="none"/>
                <w:lang w:val="en-US" w:eastAsia="zh-CN"/>
              </w:rPr>
            </w:pPr>
            <w:r>
              <w:rPr>
                <w:rFonts w:hint="eastAsia"/>
                <w:color w:val="auto"/>
                <w:highlight w:val="none"/>
                <w:lang w:val="en-US" w:eastAsia="zh-CN"/>
              </w:rPr>
              <w:t xml:space="preserve">详见投标文件</w:t>
            </w:r>
            <w:r/>
          </w:p>
        </w:tc>
        <w:tc>
          <w:tcPr>
            <w:tcW w:w="2919" w:type="dxa"/>
            <w:vAlign w:val="center"/>
            <w:textDirection w:val="lrTb"/>
            <w:noWrap/>
          </w:tcPr>
          <w:p>
            <w:pPr>
              <w:pStyle w:val="977"/>
              <w:spacing w:beforeAutospacing="0" w:afterAutospacing="0" w:line="400" w:lineRule="exact"/>
              <w:rPr>
                <w:rFonts w:hint="default" w:eastAsia="宋体"/>
                <w:color w:val="auto"/>
                <w:highlight w:val="none"/>
                <w:lang w:val="en-US" w:eastAsia="zh-CN"/>
              </w:rPr>
            </w:pPr>
            <w:r>
              <w:rPr>
                <w:rFonts w:hint="eastAsia"/>
                <w:color w:val="auto"/>
                <w:highlight w:val="none"/>
                <w:lang w:val="en-US" w:eastAsia="zh-CN"/>
              </w:rPr>
              <w:t xml:space="preserve">              元</w:t>
            </w:r>
            <w:r/>
          </w:p>
        </w:tc>
      </w:tr>
      <w:tr>
        <w:trPr>
          <w:tblCellSpacing w:w="0" w:type="dxa"/>
          <w:trHeight w:val="1070"/>
        </w:trPr>
        <w:tc>
          <w:tcPr>
            <w:tcW w:w="2036" w:type="dxa"/>
            <w:vAlign w:val="center"/>
            <w:textDirection w:val="lrTb"/>
            <w:noWrap/>
          </w:tcPr>
          <w:p>
            <w:pPr>
              <w:pStyle w:val="977"/>
              <w:jc w:val="center"/>
              <w:spacing w:beforeAutospacing="0" w:afterAutospacing="0" w:line="400" w:lineRule="exact"/>
              <w:rPr>
                <w:rFonts w:hint="eastAsia" w:eastAsia="宋体"/>
                <w:color w:val="auto"/>
                <w:highlight w:val="none"/>
                <w:lang w:val="en-US" w:eastAsia="zh-CN"/>
              </w:rPr>
            </w:pPr>
            <w:r>
              <w:rPr>
                <w:rFonts w:hint="eastAsia"/>
                <w:color w:val="auto"/>
                <w:highlight w:val="none"/>
                <w:lang w:val="en-US" w:eastAsia="zh-CN"/>
              </w:rPr>
              <w:t xml:space="preserve">总价（大写）</w:t>
            </w:r>
            <w:r/>
          </w:p>
        </w:tc>
        <w:tc>
          <w:tcPr>
            <w:gridSpan w:val="2"/>
            <w:tcW w:w="6864" w:type="dxa"/>
            <w:vAlign w:val="center"/>
            <w:textDirection w:val="lrTb"/>
            <w:noWrap/>
          </w:tcPr>
          <w:p>
            <w:pPr>
              <w:pStyle w:val="977"/>
              <w:spacing w:beforeAutospacing="0" w:afterAutospacing="0" w:line="400" w:lineRule="exact"/>
              <w:rPr>
                <w:color w:val="auto"/>
                <w:highlight w:val="none"/>
              </w:rPr>
            </w:pPr>
            <w:r>
              <w:rPr>
                <w:rFonts w:hint="eastAsia"/>
                <w:color w:val="auto"/>
                <w:highlight w:val="none"/>
                <w:lang w:val="en-US" w:eastAsia="zh-CN"/>
              </w:rPr>
              <w:t xml:space="preserve">金额大写</w:t>
            </w:r>
            <w:r/>
          </w:p>
        </w:tc>
      </w:tr>
    </w:tbl>
    <w:p>
      <w:pPr>
        <w:pStyle w:val="977"/>
        <w:jc w:val="both"/>
        <w:spacing w:beforeAutospacing="0" w:afterAutospacing="0" w:line="500" w:lineRule="exact"/>
        <w:rPr>
          <w:rFonts w:hint="default" w:eastAsia="宋体"/>
          <w:color w:val="auto"/>
          <w:highlight w:val="none"/>
          <w:lang w:val="en-US" w:eastAsia="zh-CN"/>
        </w:rPr>
      </w:pPr>
      <w:r>
        <w:rPr>
          <w:rFonts w:hint="eastAsia"/>
          <w:color w:val="auto"/>
          <w:highlight w:val="none"/>
          <w:lang w:val="en-US" w:eastAsia="zh-CN"/>
        </w:rPr>
        <w:t xml:space="preserve">投标人公章：电子签章</w:t>
      </w:r>
      <w:r/>
    </w:p>
    <w:p>
      <w:pPr>
        <w:pStyle w:val="977"/>
        <w:ind w:firstLine="480"/>
        <w:jc w:val="right"/>
        <w:spacing w:beforeAutospacing="0" w:afterAutospacing="0" w:line="500" w:lineRule="exact"/>
        <w:rPr>
          <w:rFonts w:hint="eastAsia"/>
          <w:color w:val="auto"/>
          <w:highlight w:val="none"/>
        </w:rPr>
      </w:pPr>
      <w:r>
        <w:rPr>
          <w:rFonts w:hint="eastAsia"/>
          <w:color w:val="auto"/>
          <w:highlight w:val="none"/>
        </w:rPr>
        <w:t xml:space="preserve">                   </w:t>
      </w:r>
      <w:r/>
    </w:p>
    <w:p>
      <w:pPr>
        <w:pStyle w:val="977"/>
        <w:ind w:firstLine="480"/>
        <w:jc w:val="right"/>
        <w:spacing w:beforeAutospacing="0" w:afterAutospacing="0" w:line="500" w:lineRule="exact"/>
        <w:rPr>
          <w:color w:val="auto"/>
          <w:highlight w:val="none"/>
        </w:rPr>
      </w:pPr>
      <w:r>
        <w:rPr>
          <w:rFonts w:hint="eastAsia"/>
          <w:color w:val="auto"/>
          <w:highlight w:val="none"/>
        </w:rPr>
        <w:t xml:space="preserve">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977"/>
        <w:ind w:firstLine="600"/>
        <w:jc w:val="both"/>
        <w:spacing w:beforeAutospacing="0" w:afterAutospacing="0" w:line="500" w:lineRule="exact"/>
        <w:rPr>
          <w:color w:val="auto"/>
          <w:highlight w:val="none"/>
        </w:rPr>
      </w:pPr>
      <w:r>
        <w:rPr>
          <w:rFonts w:hint="eastAsia"/>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77"/>
        <w:jc w:val="center"/>
        <w:keepLines w:val="0"/>
        <w:keepNext w:val="0"/>
        <w:pageBreakBefore w:val="0"/>
        <w:spacing w:beforeAutospacing="0" w:afterAutospacing="0" w:line="500" w:lineRule="exac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十六、服务方案等</w:t>
      </w:r>
      <w:r/>
    </w:p>
    <w:p>
      <w:pPr>
        <w:pStyle w:val="977"/>
        <w:jc w:val="center"/>
        <w:spacing w:beforeAutospacing="0" w:afterAutospacing="0" w:line="0" w:lineRule="atLeas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977"/>
        <w:jc w:val="center"/>
        <w:spacing w:beforeAutospacing="0" w:afterAutospacing="0" w:line="0" w:lineRule="atLeast"/>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十七、盐城市政府采购事前信用承诺书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pStyle w:val="79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1"/>
        <w:jc w:val="center"/>
        <w:spacing w:beforeAutospacing="0" w:afterAutospacing="0"/>
        <w:rPr>
          <w:rFonts w:hint="eastAsia" w:ascii="黑体" w:hAnsi="黑体" w:eastAsia="黑体" w:cs="黑体"/>
          <w:i/>
          <w:color w:val="auto"/>
          <w:sz w:val="32"/>
          <w:szCs w:val="32"/>
          <w:highlight w:val="none"/>
          <w:u w:val="single"/>
          <w:lang w:val="en-US" w:eastAsia="zh-CN" w:bidi="ar-SA"/>
        </w:rPr>
      </w:pPr>
      <w:r>
        <w:rPr>
          <w:rFonts w:hint="eastAsia" w:ascii="黑体" w:hAnsi="黑体" w:eastAsia="黑体" w:cs="黑体"/>
          <w:i/>
          <w:color w:val="auto"/>
          <w:sz w:val="32"/>
          <w:szCs w:val="32"/>
          <w:highlight w:val="none"/>
          <w:u w:val="single"/>
          <w:lang w:val="en-US" w:eastAsia="zh-CN" w:bidi="ar-SA"/>
        </w:rPr>
        <w:t xml:space="preserve">质疑函范本</w:t>
      </w:r>
      <w:r/>
    </w:p>
    <w:p>
      <w:pPr>
        <w:pStyle w:val="791"/>
        <w:jc w:val="both"/>
        <w:keepLines w:val="0"/>
        <w:keepNext w:val="0"/>
        <w:pageBreakBefore w:val="0"/>
        <w:spacing w:before="290"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1"/>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1"/>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91"/>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1"/>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1"/>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1"/>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1"/>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1"/>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91"/>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keepLines w:val="0"/>
        <w:keepNext w:val="0"/>
        <w:pageBreakBefore w:val="0"/>
        <w:spacing w:line="500" w:lineRule="exact"/>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rPr>
          <w:rFonts w:hint="eastAsia"/>
          <w:lang w:val="en-US"/>
        </w:rPr>
      </w:pPr>
      <w:r>
        <w:rPr>
          <w:rFonts w:hint="eastAsia"/>
          <w:lang w:val="en-US"/>
        </w:rPr>
      </w:r>
      <w:r/>
    </w:p>
    <w:p>
      <w:pPr>
        <w:jc w:val="left"/>
        <w:tabs>
          <w:tab w:val="left" w:pos="7680" w:leader="none"/>
        </w:tabs>
        <w:rPr>
          <w:rFonts w:hint="eastAsia" w:eastAsia="宋体"/>
          <w:lang w:val="en-US" w:eastAsia="zh-CN"/>
        </w:rPr>
      </w:pPr>
      <w:r>
        <w:rPr>
          <w:rFonts w:hint="eastAsia"/>
          <w:lang w:val="en-US" w:eastAsia="zh-CN"/>
        </w:rPr>
        <w:tab/>
      </w:r>
      <w:r/>
    </w:p>
    <w:sectPr>
      <w:headerReference w:type="default" r:id="rId11"/>
      <w:footerReference w:type="default" r:id="rId14"/>
      <w:footerReference w:type="first" r:id="rId15"/>
      <w:footnotePr/>
      <w:endnotePr/>
      <w:type w:val="nextPage"/>
      <w:pgSz w:w="11906" w:h="16838" w:orient="portrait"/>
      <w:pgMar w:top="1440" w:right="1633" w:bottom="1440" w:left="1633"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FangSong">
    <w:panose1 w:val="02010609060101010101"/>
  </w:font>
  <w:font w:name="Showcard Gothic">
    <w:panose1 w:val="04020904020102020604"/>
  </w:font>
  <w:font w:name="Wingdings">
    <w:panose1 w:val="05000000000000000000"/>
  </w:font>
  <w:font w:name="黑体">
    <w:panose1 w:val="02010609060101010101"/>
  </w:font>
  <w:font w:name="仿宋">
    <w:panose1 w:val="02010609060101010101"/>
  </w:font>
  <w:font w:name="Courier New">
    <w:panose1 w:val="02070309020205020404"/>
  </w:font>
  <w:font w:name="楷体_GB2312">
    <w:panose1 w:val="02010609060101010101"/>
  </w:font>
  <w:font w:name="Arial">
    <w:panose1 w:val="020B0604020202020204"/>
  </w:font>
  <w:font w:name="Symbol">
    <w:panose1 w:val="05050102010706020507"/>
  </w:font>
  <w:font w:name="楷体">
    <w:panose1 w:val="02010609060101010101"/>
  </w:font>
  <w:font w:name="Calibri">
    <w:panose1 w:val="020F0502020204030204"/>
  </w:font>
  <w:font w:name="微软雅黑">
    <w:panose1 w:val="020B0503020204020204"/>
  </w:font>
  <w:font w:name="隶书">
    <w:panose1 w:val="02010509060101010101"/>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framePr w:wrap="around" w:vAnchor="text" w:hAnchor="margin" w:xAlign="center" w:y="1"/>
    </w:pPr>
    <w:r>
      <w:fldChar w:fldCharType="begin"/>
    </w:r>
    <w:r>
      <w:rPr>
        <w:rStyle w:val="861"/>
      </w:rPr>
      <w:instrText xml:space="preserve">PAGE  </w:instrText>
    </w:r>
    <w:r>
      <w:fldChar w:fldCharType="separate"/>
    </w:r>
    <w:r>
      <w:rPr>
        <w:rStyle w:val="861"/>
      </w:rPr>
      <w:t xml:space="preserve">1</w:t>
    </w:r>
    <w:r>
      <w:fldChar w:fldCharType="end"/>
    </w:r>
    <w:r/>
  </w:p>
  <w:p>
    <w:pPr>
      <w:pStyle w:val="8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258445" cy="131445"/>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258444" cy="131445"/>
                      </a:xfrm>
                      <a:prstGeom prst="rect">
                        <a:avLst/>
                      </a:prstGeom>
                      <a:ln>
                        <a:noFill/>
                      </a:ln>
                    </wps:spPr>
                    <wps:txbx>
                      <w:txbxContent>
                        <w:p>
                          <w:pPr>
                            <w:pStyle w:val="780"/>
                          </w:pPr>
                          <w:r>
                            <w:fldChar w:fldCharType="begin"/>
                          </w:r>
                          <w:r>
                            <w:instrText xml:space="preserve"> PAGE  \* MERGEFORMAT </w:instrText>
                          </w:r>
                          <w:r>
                            <w:fldChar w:fldCharType="separate"/>
                          </w:r>
                          <w:r>
                            <w:t xml:space="preserve">58</w:t>
                          </w:r>
                          <w:r>
                            <w:fldChar w:fldCharType="end"/>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20.3pt;height:10.3pt;mso-wrap-distance-left:0.0pt;mso-wrap-distance-top:0.0pt;mso-wrap-distance-right:0.0pt;mso-wrap-distance-bottom:0.0pt;visibility:visible;" filled="f" stroked="f">
              <v:textbox inset="0,0,0,0">
                <w:txbxContent>
                  <w:p>
                    <w:pPr>
                      <w:pStyle w:val="780"/>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80"/>
                          </w:pPr>
                          <w:r>
                            <w:fldChar w:fldCharType="begin"/>
                          </w:r>
                          <w:r>
                            <w:instrText xml:space="preserve"> PAGE  \* MERGEFORMAT </w:instrText>
                          </w:r>
                          <w:r>
                            <w:fldChar w:fldCharType="separate"/>
                          </w:r>
                          <w:r>
                            <w:t xml:space="preserve">54</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78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spacing w:line="400" w:lineRule="exact"/>
      <w:rPr>
        <w:color w:val="000000"/>
      </w:rPr>
      <w:pBdr>
        <w:top w:val="none" w:color="auto" w:sz="0" w:space="0"/>
        <w:left w:val="none" w:color="auto" w:sz="0" w:space="0"/>
        <w:bottom w:val="none" w:color="000000" w:sz="0" w:space="1"/>
        <w:right w:val="none" w:color="auto" w:sz="0" w:space="0"/>
        <w:between w:val="none" w:color="auto" w:sz="0" w:space="0"/>
      </w:pBdr>
    </w:pPr>
    <w:r>
      <w:rPr>
        <w:rFonts w:ascii="Times New Roman" w:hAnsi="Times New Roman" w:eastAsia="隶书" w:cs="Times New Roman"/>
        <w:spacing w:val="40"/>
        <w:sz w:val="22"/>
        <w:szCs w:val="2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both"/>
      <w:spacing w:line="400" w:lineRule="exact"/>
      <w:rPr>
        <w:color w:val="000000"/>
      </w:rPr>
      <w:pBdr>
        <w:top w:val="none" w:color="auto" w:sz="0" w:space="0"/>
        <w:left w:val="none" w:color="auto" w:sz="0" w:space="0"/>
        <w:bottom w:val="none" w:color="000000" w:sz="0" w:space="1"/>
        <w:right w:val="none" w:color="auto" w:sz="0" w:space="0"/>
        <w:between w:val="none" w:color="auto" w:sz="0" w:space="0"/>
      </w:pBdr>
    </w:pPr>
    <w:r>
      <w:rPr>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spacing w:line="400" w:lineRule="exact"/>
      <w:pBdr>
        <w:top w:val="none" w:color="auto" w:sz="0" w:space="0"/>
        <w:left w:val="none" w:color="auto" w:sz="0" w:space="0"/>
        <w:bottom w:val="none" w:color="000000"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name w:val="Heading 1"/>
    <w:basedOn w:val="764"/>
    <w:next w:val="764"/>
    <w:link w:val="1050"/>
    <w:uiPriority w:val="9"/>
    <w:qFormat/>
    <w:pPr>
      <w:keepLines/>
      <w:keepNext/>
      <w:spacing w:before="340" w:after="330" w:line="578" w:lineRule="auto"/>
      <w:outlineLvl w:val="0"/>
    </w:pPr>
    <w:rPr>
      <w:b/>
      <w:bCs/>
      <w:sz w:val="44"/>
      <w:szCs w:val="44"/>
    </w:rPr>
  </w:style>
  <w:style w:type="paragraph" w:styleId="766">
    <w:name w:val="Heading 2"/>
    <w:basedOn w:val="764"/>
    <w:next w:val="764"/>
    <w:uiPriority w:val="0"/>
    <w:unhideWhenUsed/>
    <w:qFormat/>
    <w:pPr>
      <w:ind w:firstLine="200"/>
      <w:keepLines/>
      <w:keepNext/>
      <w:spacing w:line="300" w:lineRule="auto"/>
      <w:outlineLvl w:val="1"/>
    </w:pPr>
    <w:rPr>
      <w:rFonts w:ascii="Calibri" w:hAnsi="Calibri"/>
      <w:b/>
      <w:bCs/>
      <w:szCs w:val="32"/>
    </w:rPr>
  </w:style>
  <w:style w:type="paragraph" w:styleId="767">
    <w:name w:val="Heading 3"/>
    <w:basedOn w:val="764"/>
    <w:next w:val="764"/>
    <w:uiPriority w:val="0"/>
    <w:unhideWhenUsed/>
    <w:qFormat/>
    <w:pPr>
      <w:ind w:firstLine="200"/>
      <w:spacing w:line="300" w:lineRule="auto"/>
      <w:widowControl/>
      <w:outlineLvl w:val="2"/>
    </w:pPr>
    <w:rPr>
      <w:rFonts w:ascii="Calibri" w:hAnsi="Calibri"/>
      <w:b/>
      <w:szCs w:val="20"/>
    </w:rPr>
  </w:style>
  <w:style w:type="character" w:styleId="768" w:default="1">
    <w:name w:val="Default Paragraph Font"/>
    <w:uiPriority w:val="1"/>
    <w:qFormat/>
  </w:style>
  <w:style w:type="table" w:styleId="769" w:default="1">
    <w:name w:val="Normal Table"/>
    <w:uiPriority w:val="99"/>
    <w:qFormat/>
    <w:tblPr>
      <w:tblCellMar>
        <w:left w:w="108" w:type="dxa"/>
        <w:top w:w="0" w:type="dxa"/>
        <w:right w:w="108" w:type="dxa"/>
        <w:bottom w:w="0" w:type="dxa"/>
      </w:tblCellMar>
    </w:tblPr>
  </w:style>
  <w:style w:type="paragraph" w:styleId="770">
    <w:name w:val="toc 7"/>
    <w:basedOn w:val="764"/>
    <w:next w:val="764"/>
    <w:uiPriority w:val="39"/>
    <w:qFormat/>
    <w:pPr>
      <w:ind w:left="1701"/>
      <w:spacing w:after="57"/>
    </w:pPr>
  </w:style>
  <w:style w:type="paragraph" w:styleId="771">
    <w:name w:val="annotation text"/>
    <w:basedOn w:val="764"/>
    <w:uiPriority w:val="0"/>
    <w:qFormat/>
    <w:pPr>
      <w:jc w:val="left"/>
    </w:pPr>
  </w:style>
  <w:style w:type="paragraph" w:styleId="772">
    <w:name w:val="Body Text"/>
    <w:basedOn w:val="764"/>
    <w:uiPriority w:val="0"/>
    <w:qFormat/>
    <w:rPr>
      <w:rFonts w:ascii="楷体" w:hAnsi="Arial" w:eastAsia="楷体"/>
      <w:sz w:val="28"/>
      <w:szCs w:val="28"/>
    </w:rPr>
  </w:style>
  <w:style w:type="paragraph" w:styleId="773">
    <w:name w:val="Body Text Indent"/>
    <w:basedOn w:val="764"/>
    <w:uiPriority w:val="0"/>
    <w:qFormat/>
    <w:pPr>
      <w:ind w:firstLine="645"/>
    </w:pPr>
    <w:rPr>
      <w:rFonts w:ascii="楷体_GB2312" w:eastAsia="楷体_GB2312"/>
      <w:sz w:val="32"/>
      <w:szCs w:val="32"/>
    </w:rPr>
  </w:style>
  <w:style w:type="paragraph" w:styleId="774">
    <w:name w:val="toc 5"/>
    <w:basedOn w:val="764"/>
    <w:next w:val="764"/>
    <w:uiPriority w:val="39"/>
    <w:qFormat/>
    <w:pPr>
      <w:ind w:left="1134"/>
      <w:spacing w:after="57"/>
    </w:pPr>
  </w:style>
  <w:style w:type="paragraph" w:styleId="775">
    <w:name w:val="toc 3"/>
    <w:basedOn w:val="764"/>
    <w:next w:val="764"/>
    <w:uiPriority w:val="39"/>
    <w:qFormat/>
    <w:pPr>
      <w:ind w:left="567"/>
      <w:spacing w:after="57"/>
    </w:pPr>
  </w:style>
  <w:style w:type="paragraph" w:styleId="776">
    <w:name w:val="Plain Text"/>
    <w:basedOn w:val="764"/>
    <w:uiPriority w:val="0"/>
    <w:qFormat/>
    <w:rPr>
      <w:rFonts w:ascii="宋体" w:hAnsi="Courier New" w:eastAsia="楷体"/>
      <w:sz w:val="28"/>
      <w:szCs w:val="20"/>
    </w:rPr>
  </w:style>
  <w:style w:type="paragraph" w:styleId="777">
    <w:name w:val="toc 8"/>
    <w:basedOn w:val="764"/>
    <w:next w:val="764"/>
    <w:uiPriority w:val="39"/>
    <w:qFormat/>
    <w:pPr>
      <w:ind w:left="1984"/>
      <w:spacing w:after="57"/>
    </w:pPr>
  </w:style>
  <w:style w:type="paragraph" w:styleId="778">
    <w:name w:val="endnote text"/>
    <w:basedOn w:val="764"/>
    <w:link w:val="929"/>
    <w:uiPriority w:val="99"/>
    <w:qFormat/>
    <w:rPr>
      <w:sz w:val="20"/>
    </w:rPr>
  </w:style>
  <w:style w:type="paragraph" w:styleId="779">
    <w:name w:val="Balloon Text"/>
    <w:basedOn w:val="764"/>
    <w:link w:val="888"/>
    <w:uiPriority w:val="99"/>
    <w:qFormat/>
    <w:rPr>
      <w:sz w:val="18"/>
      <w:szCs w:val="18"/>
    </w:rPr>
  </w:style>
  <w:style w:type="paragraph" w:styleId="780">
    <w:name w:val="Footer"/>
    <w:basedOn w:val="764"/>
    <w:link w:val="852"/>
    <w:uiPriority w:val="99"/>
    <w:qFormat/>
    <w:pPr>
      <w:jc w:val="left"/>
      <w:tabs>
        <w:tab w:val="center" w:pos="4153" w:leader="none"/>
        <w:tab w:val="right" w:pos="8306" w:leader="none"/>
      </w:tabs>
    </w:pPr>
    <w:rPr>
      <w:sz w:val="18"/>
      <w:szCs w:val="18"/>
    </w:rPr>
  </w:style>
  <w:style w:type="paragraph" w:styleId="781">
    <w:name w:val="Header"/>
    <w:basedOn w:val="764"/>
    <w:link w:val="999"/>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64"/>
    <w:next w:val="764"/>
    <w:uiPriority w:val="39"/>
    <w:qFormat/>
    <w:pPr>
      <w:spacing w:after="57"/>
    </w:pPr>
  </w:style>
  <w:style w:type="paragraph" w:styleId="783">
    <w:name w:val="toc 4"/>
    <w:basedOn w:val="764"/>
    <w:next w:val="764"/>
    <w:uiPriority w:val="39"/>
    <w:qFormat/>
    <w:pPr>
      <w:ind w:left="850"/>
      <w:spacing w:after="57"/>
    </w:pPr>
  </w:style>
  <w:style w:type="paragraph" w:styleId="784">
    <w:name w:val="Subtitle"/>
    <w:basedOn w:val="764"/>
    <w:next w:val="764"/>
    <w:link w:val="832"/>
    <w:uiPriority w:val="11"/>
    <w:qFormat/>
    <w:pPr>
      <w:spacing w:before="200" w:after="200"/>
    </w:pPr>
    <w:rPr>
      <w:sz w:val="24"/>
    </w:rPr>
  </w:style>
  <w:style w:type="paragraph" w:styleId="785">
    <w:name w:val="footnote text"/>
    <w:basedOn w:val="764"/>
    <w:link w:val="830"/>
    <w:uiPriority w:val="99"/>
    <w:qFormat/>
    <w:pPr>
      <w:spacing w:after="40"/>
    </w:pPr>
    <w:rPr>
      <w:sz w:val="18"/>
    </w:rPr>
  </w:style>
  <w:style w:type="paragraph" w:styleId="786">
    <w:name w:val="toc 6"/>
    <w:basedOn w:val="764"/>
    <w:next w:val="764"/>
    <w:uiPriority w:val="39"/>
    <w:qFormat/>
    <w:pPr>
      <w:ind w:left="1417"/>
      <w:spacing w:after="57"/>
    </w:pPr>
  </w:style>
  <w:style w:type="paragraph" w:styleId="787">
    <w:name w:val="Body Text Indent 3"/>
    <w:basedOn w:val="764"/>
    <w:uiPriority w:val="0"/>
    <w:qFormat/>
    <w:pPr>
      <w:ind w:left="645" w:firstLine="645"/>
    </w:pPr>
    <w:rPr>
      <w:rFonts w:ascii="Arial" w:hAnsi="Arial" w:eastAsia="仿宋" w:cs="Arial"/>
      <w:color w:val="ffff00"/>
      <w:sz w:val="32"/>
      <w:szCs w:val="32"/>
    </w:rPr>
  </w:style>
  <w:style w:type="paragraph" w:styleId="788">
    <w:name w:val="table of figures"/>
    <w:basedOn w:val="764"/>
    <w:next w:val="764"/>
    <w:uiPriority w:val="99"/>
    <w:qFormat/>
  </w:style>
  <w:style w:type="paragraph" w:styleId="789">
    <w:name w:val="toc 2"/>
    <w:basedOn w:val="764"/>
    <w:next w:val="764"/>
    <w:uiPriority w:val="39"/>
    <w:qFormat/>
    <w:pPr>
      <w:ind w:left="283"/>
      <w:spacing w:after="57"/>
    </w:pPr>
  </w:style>
  <w:style w:type="paragraph" w:styleId="790">
    <w:name w:val="toc 9"/>
    <w:basedOn w:val="764"/>
    <w:next w:val="764"/>
    <w:uiPriority w:val="39"/>
    <w:qFormat/>
    <w:pPr>
      <w:ind w:left="2268"/>
      <w:spacing w:after="57"/>
    </w:pPr>
  </w:style>
  <w:style w:type="paragraph" w:styleId="791">
    <w:name w:val="Normal (Web)"/>
    <w:basedOn w:val="764"/>
    <w:uiPriority w:val="0"/>
    <w:qFormat/>
    <w:pPr>
      <w:jc w:val="left"/>
      <w:spacing w:beforeAutospacing="1" w:afterAutospacing="1"/>
    </w:pPr>
    <w:rPr>
      <w:sz w:val="24"/>
    </w:rPr>
  </w:style>
  <w:style w:type="paragraph" w:styleId="792">
    <w:name w:val="Title"/>
    <w:basedOn w:val="764"/>
    <w:next w:val="764"/>
    <w:link w:val="831"/>
    <w:uiPriority w:val="10"/>
    <w:qFormat/>
    <w:pPr>
      <w:contextualSpacing/>
      <w:spacing w:before="300" w:after="200"/>
    </w:pPr>
    <w:rPr>
      <w:sz w:val="48"/>
      <w:szCs w:val="48"/>
    </w:rPr>
  </w:style>
  <w:style w:type="paragraph" w:styleId="793">
    <w:name w:val="Body Text First Indent"/>
    <w:basedOn w:val="764"/>
    <w:next w:val="764"/>
    <w:uiPriority w:val="99"/>
    <w:qFormat/>
    <w:pPr>
      <w:ind w:firstLine="420"/>
    </w:pPr>
  </w:style>
  <w:style w:type="paragraph" w:styleId="794">
    <w:name w:val="Body Text First Indent 2"/>
    <w:basedOn w:val="773"/>
    <w:uiPriority w:val="0"/>
    <w:qFormat/>
    <w:pPr>
      <w:ind w:firstLine="420"/>
      <w:spacing w:line="360" w:lineRule="auto"/>
    </w:pPr>
    <w:rPr>
      <w:rFonts w:ascii="宋体" w:hAnsi="宋体" w:eastAsia="宋体"/>
      <w:sz w:val="21"/>
      <w:szCs w:val="20"/>
    </w:r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qFormat/>
    <w:rPr>
      <w:vertAlign w:val="superscript"/>
    </w:rPr>
  </w:style>
  <w:style w:type="character" w:styleId="797">
    <w:name w:val="Hyperlink"/>
    <w:uiPriority w:val="99"/>
    <w:qFormat/>
    <w:rPr>
      <w:color w:val="0000ff"/>
      <w:u w:val="single"/>
    </w:rPr>
  </w:style>
  <w:style w:type="character" w:styleId="798">
    <w:name w:val="annotation reference"/>
    <w:basedOn w:val="768"/>
    <w:uiPriority w:val="99"/>
    <w:qFormat/>
    <w:rPr>
      <w:sz w:val="21"/>
      <w:szCs w:val="21"/>
    </w:rPr>
  </w:style>
  <w:style w:type="character" w:styleId="799">
    <w:name w:val="footnote reference"/>
    <w:uiPriority w:val="99"/>
    <w:qFormat/>
    <w:rPr>
      <w:vertAlign w:val="superscript"/>
    </w:rPr>
  </w:style>
  <w:style w:type="character" w:styleId="800" w:customStyle="1">
    <w:name w:val="Heading 1 Char"/>
    <w:basedOn w:val="768"/>
    <w:uiPriority w:val="9"/>
    <w:qFormat/>
    <w:rPr>
      <w:rFonts w:ascii="Arial" w:hAnsi="Arial" w:eastAsia="Arial" w:cs="Arial"/>
      <w:sz w:val="40"/>
      <w:szCs w:val="40"/>
    </w:rPr>
  </w:style>
  <w:style w:type="character" w:styleId="801" w:customStyle="1">
    <w:name w:val="Heading 2 Char"/>
    <w:basedOn w:val="768"/>
    <w:uiPriority w:val="9"/>
    <w:qFormat/>
    <w:rPr>
      <w:rFonts w:ascii="Arial" w:hAnsi="Arial" w:eastAsia="Arial" w:cs="Arial"/>
      <w:sz w:val="34"/>
    </w:rPr>
  </w:style>
  <w:style w:type="character" w:styleId="802" w:customStyle="1">
    <w:name w:val="Heading 3 Char"/>
    <w:basedOn w:val="768"/>
    <w:uiPriority w:val="9"/>
    <w:qFormat/>
    <w:rPr>
      <w:rFonts w:ascii="Arial" w:hAnsi="Arial" w:eastAsia="Arial" w:cs="Arial"/>
      <w:sz w:val="30"/>
      <w:szCs w:val="30"/>
    </w:rPr>
  </w:style>
  <w:style w:type="character" w:styleId="803" w:customStyle="1">
    <w:name w:val="Heading 4 Char"/>
    <w:basedOn w:val="768"/>
    <w:uiPriority w:val="9"/>
    <w:qFormat/>
    <w:rPr>
      <w:rFonts w:ascii="Arial" w:hAnsi="Arial" w:eastAsia="Arial" w:cs="Arial"/>
      <w:b/>
      <w:bCs/>
      <w:sz w:val="26"/>
      <w:szCs w:val="26"/>
    </w:rPr>
  </w:style>
  <w:style w:type="character" w:styleId="804" w:customStyle="1">
    <w:name w:val="Heading 5 Char"/>
    <w:basedOn w:val="768"/>
    <w:uiPriority w:val="9"/>
    <w:qFormat/>
    <w:rPr>
      <w:rFonts w:ascii="Arial" w:hAnsi="Arial" w:eastAsia="Arial" w:cs="Arial"/>
      <w:b/>
      <w:bCs/>
      <w:sz w:val="24"/>
      <w:szCs w:val="24"/>
    </w:rPr>
  </w:style>
  <w:style w:type="character" w:styleId="805" w:customStyle="1">
    <w:name w:val="Heading 6 Char"/>
    <w:basedOn w:val="768"/>
    <w:uiPriority w:val="9"/>
    <w:qFormat/>
    <w:rPr>
      <w:rFonts w:ascii="Arial" w:hAnsi="Arial" w:eastAsia="Arial" w:cs="Arial"/>
      <w:b/>
      <w:bCs/>
      <w:sz w:val="22"/>
      <w:szCs w:val="22"/>
    </w:rPr>
  </w:style>
  <w:style w:type="character" w:styleId="806" w:customStyle="1">
    <w:name w:val="Heading 7 Char"/>
    <w:basedOn w:val="768"/>
    <w:uiPriority w:val="9"/>
    <w:qFormat/>
    <w:rPr>
      <w:rFonts w:ascii="Arial" w:hAnsi="Arial" w:eastAsia="Arial" w:cs="Arial"/>
      <w:b/>
      <w:bCs/>
      <w:i/>
      <w:iCs/>
      <w:sz w:val="22"/>
      <w:szCs w:val="22"/>
    </w:rPr>
  </w:style>
  <w:style w:type="character" w:styleId="807" w:customStyle="1">
    <w:name w:val="Heading 8 Char"/>
    <w:basedOn w:val="768"/>
    <w:uiPriority w:val="9"/>
    <w:qFormat/>
    <w:rPr>
      <w:rFonts w:ascii="Arial" w:hAnsi="Arial" w:eastAsia="Arial" w:cs="Arial"/>
      <w:i/>
      <w:iCs/>
      <w:sz w:val="22"/>
      <w:szCs w:val="22"/>
    </w:rPr>
  </w:style>
  <w:style w:type="character" w:styleId="808" w:customStyle="1">
    <w:name w:val="Heading 9 Char"/>
    <w:basedOn w:val="768"/>
    <w:uiPriority w:val="9"/>
    <w:qFormat/>
    <w:rPr>
      <w:rFonts w:ascii="Arial" w:hAnsi="Arial" w:eastAsia="Arial" w:cs="Arial"/>
      <w:i/>
      <w:iCs/>
      <w:sz w:val="21"/>
      <w:szCs w:val="21"/>
    </w:rPr>
  </w:style>
  <w:style w:type="character" w:styleId="809" w:customStyle="1">
    <w:name w:val="Title Char"/>
    <w:basedOn w:val="768"/>
    <w:uiPriority w:val="10"/>
    <w:qFormat/>
    <w:rPr>
      <w:sz w:val="48"/>
      <w:szCs w:val="48"/>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68"/>
    <w:uiPriority w:val="99"/>
    <w:qFormat/>
  </w:style>
  <w:style w:type="character" w:styleId="813" w:customStyle="1">
    <w:name w:val="Footer Char"/>
    <w:basedOn w:val="768"/>
    <w:uiPriority w:val="99"/>
    <w:qFormat/>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表格正文"/>
    <w:basedOn w:val="764"/>
    <w:next w:val="764"/>
    <w:uiPriority w:val="0"/>
    <w:qFormat/>
    <w:pPr>
      <w:jc w:val="left"/>
      <w:spacing w:line="440" w:lineRule="exact"/>
    </w:pPr>
    <w:rPr>
      <w:rFonts w:cs="Times New Roman"/>
      <w:szCs w:val="21"/>
    </w:rPr>
  </w:style>
  <w:style w:type="table" w:styleId="81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18" w:customStyle="1">
    <w:name w:val="Heading 7"/>
    <w:basedOn w:val="764"/>
    <w:next w:val="764"/>
    <w:link w:val="835"/>
    <w:uiPriority w:val="9"/>
    <w:qFormat/>
    <w:pPr>
      <w:keepLines/>
      <w:keepNext/>
      <w:spacing w:before="320" w:after="200"/>
      <w:outlineLvl w:val="6"/>
    </w:pPr>
    <w:rPr>
      <w:rFonts w:ascii="Arial" w:hAnsi="Arial" w:eastAsia="Arial" w:cs="Arial"/>
      <w:b/>
      <w:bCs/>
      <w:i/>
      <w:iCs/>
      <w:sz w:val="22"/>
      <w:szCs w:val="22"/>
    </w:rPr>
  </w:style>
  <w:style w:type="paragraph" w:styleId="819" w:customStyle="1">
    <w:name w:val="正文文本缩进12"/>
    <w:basedOn w:val="764"/>
    <w:next w:val="820"/>
    <w:uiPriority w:val="0"/>
    <w:qFormat/>
    <w:pPr>
      <w:ind w:firstLine="645"/>
    </w:pPr>
    <w:rPr>
      <w:rFonts w:ascii="楷体" w:eastAsia="楷体"/>
      <w:sz w:val="32"/>
      <w:szCs w:val="32"/>
    </w:rPr>
  </w:style>
  <w:style w:type="paragraph" w:styleId="820" w:customStyle="1">
    <w:name w:val="寄信人地址11"/>
    <w:basedOn w:val="764"/>
    <w:uiPriority w:val="0"/>
    <w:qFormat/>
    <w:pPr>
      <w:ind w:firstLine="420"/>
      <w:jc w:val="left"/>
      <w:spacing w:line="360" w:lineRule="auto"/>
    </w:pPr>
    <w:rPr>
      <w:rFonts w:ascii="Arial" w:hAnsi="Arial" w:cs="宋体"/>
      <w:color w:val="000000"/>
      <w:sz w:val="22"/>
      <w:szCs w:val="21"/>
    </w:rPr>
  </w:style>
  <w:style w:type="paragraph" w:styleId="821" w:customStyle="1">
    <w:name w:val="pa-4"/>
    <w:basedOn w:val="764"/>
    <w:uiPriority w:val="0"/>
    <w:qFormat/>
    <w:pPr>
      <w:jc w:val="left"/>
      <w:spacing w:before="150" w:after="150"/>
      <w:widowControl/>
    </w:pPr>
    <w:rPr>
      <w:rFonts w:ascii="宋体" w:hAnsi="宋体" w:cs="宋体"/>
      <w:color w:val="000000"/>
      <w:sz w:val="24"/>
    </w:rPr>
  </w:style>
  <w:style w:type="table" w:styleId="822"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2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25">
    <w:name w:val="No Spacing"/>
    <w:uiPriority w:val="1"/>
    <w:qFormat/>
    <w:rPr>
      <w:rFonts w:hint="default" w:ascii="Calibri" w:hAnsi="Calibri" w:eastAsia="宋体" w:cs="Times New Roman"/>
      <w:sz w:val="21"/>
      <w:szCs w:val="22"/>
      <w:lang w:val="en-US" w:eastAsia="zh-CN" w:bidi="ar-SA"/>
    </w:rPr>
  </w:style>
  <w:style w:type="table" w:styleId="826"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27" w:customStyle="1">
    <w:name w:val="标题 411"/>
    <w:basedOn w:val="764"/>
    <w:next w:val="828"/>
    <w:uiPriority w:val="0"/>
    <w:qFormat/>
    <w:pPr>
      <w:keepLines/>
      <w:keepNext/>
      <w:spacing w:before="280" w:after="290" w:line="376" w:lineRule="auto"/>
      <w:outlineLvl w:val="3"/>
    </w:pPr>
    <w:rPr>
      <w:rFonts w:ascii="Arial" w:hAnsi="Arial" w:eastAsia="黑体"/>
      <w:b/>
      <w:bCs/>
      <w:sz w:val="28"/>
      <w:szCs w:val="28"/>
    </w:rPr>
  </w:style>
  <w:style w:type="paragraph" w:styleId="828" w:customStyle="1">
    <w:name w:val="正文缩进11"/>
    <w:basedOn w:val="764"/>
    <w:uiPriority w:val="0"/>
    <w:qFormat/>
    <w:pPr>
      <w:ind w:firstLine="420"/>
    </w:pPr>
    <w:rPr>
      <w:szCs w:val="20"/>
    </w:rPr>
  </w:style>
  <w:style w:type="table" w:styleId="82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830" w:customStyle="1">
    <w:name w:val="脚注文本 Char"/>
    <w:link w:val="785"/>
    <w:uiPriority w:val="99"/>
    <w:qFormat/>
    <w:rPr>
      <w:sz w:val="18"/>
    </w:rPr>
  </w:style>
  <w:style w:type="character" w:styleId="831" w:customStyle="1">
    <w:name w:val="标题 Char"/>
    <w:link w:val="792"/>
    <w:uiPriority w:val="10"/>
    <w:qFormat/>
    <w:rPr>
      <w:sz w:val="48"/>
      <w:szCs w:val="48"/>
    </w:rPr>
  </w:style>
  <w:style w:type="character" w:styleId="832" w:customStyle="1">
    <w:name w:val="副标题 Char"/>
    <w:link w:val="784"/>
    <w:uiPriority w:val="11"/>
    <w:qFormat/>
    <w:rPr>
      <w:sz w:val="24"/>
      <w:szCs w:val="24"/>
    </w:rPr>
  </w:style>
  <w:style w:type="table" w:styleId="83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3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835" w:customStyle="1">
    <w:name w:val="Heading 7 Char_243c9c46-6bad-48b0-9f85-4983fd8b207a"/>
    <w:link w:val="818"/>
    <w:uiPriority w:val="9"/>
    <w:qFormat/>
    <w:rPr>
      <w:rFonts w:ascii="Arial" w:hAnsi="Arial" w:eastAsia="Arial" w:cs="Arial"/>
      <w:b/>
      <w:bCs/>
      <w:i/>
      <w:iCs/>
      <w:sz w:val="22"/>
      <w:szCs w:val="22"/>
    </w:rPr>
  </w:style>
  <w:style w:type="character" w:styleId="836" w:customStyle="1">
    <w:name w:val="Subtitle Char"/>
    <w:basedOn w:val="768"/>
    <w:uiPriority w:val="11"/>
    <w:qFormat/>
    <w:rPr>
      <w:sz w:val="24"/>
      <w:szCs w:val="24"/>
    </w:rPr>
  </w:style>
  <w:style w:type="paragraph" w:styleId="837" w:customStyle="1">
    <w:name w:val="页脚11"/>
    <w:basedOn w:val="764"/>
    <w:uiPriority w:val="0"/>
    <w:qFormat/>
    <w:pPr>
      <w:jc w:val="left"/>
      <w:tabs>
        <w:tab w:val="center" w:pos="4153" w:leader="none"/>
        <w:tab w:val="right" w:pos="8306" w:leader="none"/>
      </w:tabs>
    </w:pPr>
    <w:rPr>
      <w:sz w:val="18"/>
      <w:szCs w:val="20"/>
    </w:rPr>
  </w:style>
  <w:style w:type="table" w:styleId="838"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39"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0"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841" w:customStyle="1">
    <w:name w:val="4"/>
    <w:basedOn w:val="764"/>
    <w:next w:val="787"/>
    <w:uiPriority w:val="0"/>
    <w:qFormat/>
    <w:pPr>
      <w:ind w:firstLine="480"/>
      <w:spacing w:line="360" w:lineRule="auto"/>
    </w:pPr>
    <w:rPr>
      <w:rFonts w:eastAsia="微软雅黑"/>
      <w:b/>
      <w:color w:val="ff0000"/>
      <w:sz w:val="24"/>
    </w:rPr>
  </w:style>
  <w:style w:type="table" w:styleId="842"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843" w:customStyle="1">
    <w:name w:val="标题 111"/>
    <w:basedOn w:val="764"/>
    <w:next w:val="764"/>
    <w:uiPriority w:val="0"/>
    <w:qFormat/>
    <w:pPr>
      <w:keepNext/>
      <w:outlineLvl w:val="0"/>
    </w:pPr>
    <w:rPr>
      <w:rFonts w:ascii="楷体" w:eastAsia="楷体"/>
      <w:sz w:val="28"/>
      <w:szCs w:val="20"/>
    </w:rPr>
  </w:style>
  <w:style w:type="table" w:styleId="8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846" w:customStyle="1">
    <w:name w:val="标题 11"/>
    <w:basedOn w:val="764"/>
    <w:next w:val="764"/>
    <w:uiPriority w:val="0"/>
    <w:qFormat/>
    <w:pPr>
      <w:jc w:val="center"/>
      <w:keepNext/>
      <w:outlineLvl w:val="0"/>
    </w:pPr>
    <w:rPr>
      <w:rFonts w:ascii="楷体" w:eastAsia="楷体"/>
      <w:sz w:val="28"/>
      <w:szCs w:val="28"/>
    </w:rPr>
  </w:style>
  <w:style w:type="table" w:styleId="84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8"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849" w:customStyle="1">
    <w:name w:val="Heading 8 Char_bb4c8d23-d699-441a-bd29-a0db28661282"/>
    <w:link w:val="850"/>
    <w:uiPriority w:val="9"/>
    <w:qFormat/>
    <w:rPr>
      <w:rFonts w:ascii="Arial" w:hAnsi="Arial" w:eastAsia="Arial" w:cs="Arial"/>
      <w:i/>
      <w:iCs/>
      <w:sz w:val="22"/>
      <w:szCs w:val="22"/>
    </w:rPr>
  </w:style>
  <w:style w:type="paragraph" w:styleId="850" w:customStyle="1">
    <w:name w:val="Heading 8"/>
    <w:basedOn w:val="764"/>
    <w:next w:val="764"/>
    <w:link w:val="849"/>
    <w:uiPriority w:val="9"/>
    <w:qFormat/>
    <w:pPr>
      <w:keepLines/>
      <w:keepNext/>
      <w:spacing w:before="320" w:after="200"/>
      <w:outlineLvl w:val="7"/>
    </w:pPr>
    <w:rPr>
      <w:rFonts w:ascii="Arial" w:hAnsi="Arial" w:eastAsia="Arial" w:cs="Arial"/>
      <w:i/>
      <w:iCs/>
      <w:sz w:val="22"/>
      <w:szCs w:val="22"/>
    </w:rPr>
  </w:style>
  <w:style w:type="table" w:styleId="85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852" w:customStyle="1">
    <w:name w:val="页脚 Char"/>
    <w:basedOn w:val="768"/>
    <w:link w:val="780"/>
    <w:uiPriority w:val="99"/>
    <w:qFormat/>
    <w:rPr>
      <w:rFonts w:ascii="Times New Roman" w:hAnsi="Times New Roman"/>
      <w:sz w:val="18"/>
      <w:szCs w:val="18"/>
    </w:rPr>
  </w:style>
  <w:style w:type="table" w:styleId="85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856" w:customStyle="1">
    <w:name w:val="Body text|2"/>
    <w:basedOn w:val="764"/>
    <w:uiPriority w:val="0"/>
    <w:qFormat/>
    <w:pPr>
      <w:spacing w:after="580"/>
    </w:pPr>
    <w:rPr>
      <w:rFonts w:ascii="宋体" w:hAnsi="宋体" w:cs="宋体"/>
      <w:sz w:val="28"/>
      <w:szCs w:val="28"/>
      <w:lang w:val="zh-TW" w:eastAsia="zh-TW" w:bidi="zh-TW"/>
    </w:rPr>
  </w:style>
  <w:style w:type="table" w:styleId="85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858" w:customStyle="1">
    <w:name w:val="正文首行缩进 211"/>
    <w:basedOn w:val="859"/>
    <w:uiPriority w:val="0"/>
    <w:qFormat/>
    <w:pPr>
      <w:ind w:firstLine="420"/>
    </w:pPr>
  </w:style>
  <w:style w:type="paragraph" w:styleId="859" w:customStyle="1">
    <w:name w:val="正文文本缩进11"/>
    <w:basedOn w:val="764"/>
    <w:next w:val="860"/>
    <w:uiPriority w:val="0"/>
    <w:qFormat/>
    <w:pPr>
      <w:ind w:left="420"/>
      <w:spacing w:after="120"/>
    </w:pPr>
  </w:style>
  <w:style w:type="paragraph" w:styleId="860" w:customStyle="1">
    <w:name w:val="寄信人地址1"/>
    <w:basedOn w:val="764"/>
    <w:uiPriority w:val="0"/>
    <w:qFormat/>
    <w:rPr>
      <w:rFonts w:ascii="Arial" w:hAnsi="Arial"/>
    </w:rPr>
  </w:style>
  <w:style w:type="character" w:styleId="861" w:customStyle="1">
    <w:name w:val="页码11"/>
    <w:uiPriority w:val="0"/>
    <w:qFormat/>
  </w:style>
  <w:style w:type="table" w:styleId="86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6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864" w:customStyle="1">
    <w:name w:val="NormalCharacter"/>
    <w:uiPriority w:val="99"/>
    <w:qFormat/>
    <w:rPr>
      <w:rFonts w:ascii="Calibri" w:hAnsi="Calibri" w:eastAsia="宋体"/>
    </w:rPr>
  </w:style>
  <w:style w:type="character" w:styleId="865" w:customStyle="1">
    <w:name w:val="标题 2 Char"/>
    <w:link w:val="866"/>
    <w:uiPriority w:val="0"/>
    <w:qFormat/>
    <w:rPr>
      <w:rFonts w:ascii="Arial" w:hAnsi="Arial" w:eastAsia="宋体"/>
      <w:b/>
      <w:sz w:val="44"/>
      <w:szCs w:val="20"/>
    </w:rPr>
  </w:style>
  <w:style w:type="paragraph" w:styleId="866" w:customStyle="1">
    <w:name w:val="标题 211"/>
    <w:basedOn w:val="764"/>
    <w:next w:val="764"/>
    <w:link w:val="865"/>
    <w:uiPriority w:val="0"/>
    <w:qFormat/>
    <w:pPr>
      <w:jc w:val="center"/>
      <w:keepLines/>
      <w:keepNext/>
      <w:spacing w:before="260" w:after="260" w:line="416" w:lineRule="auto"/>
      <w:outlineLvl w:val="1"/>
    </w:pPr>
    <w:rPr>
      <w:rFonts w:ascii="Arial" w:hAnsi="Arial" w:eastAsia="宋体"/>
      <w:b/>
      <w:sz w:val="44"/>
      <w:szCs w:val="20"/>
    </w:rPr>
  </w:style>
  <w:style w:type="paragraph" w:styleId="867" w:customStyle="1">
    <w:name w:val="正文缩进1"/>
    <w:basedOn w:val="764"/>
    <w:uiPriority w:val="0"/>
    <w:qFormat/>
    <w:pPr>
      <w:ind w:firstLine="420"/>
    </w:pPr>
  </w:style>
  <w:style w:type="paragraph" w:styleId="868" w:customStyle="1">
    <w:name w:val="WPSOffice手动目录 1"/>
    <w:uiPriority w:val="0"/>
    <w:qFormat/>
    <w:rPr>
      <w:rFonts w:hint="default" w:ascii="Times New Roman" w:hAnsi="Times New Roman" w:eastAsia="宋体" w:cs="Times New Roman"/>
      <w:sz w:val="20"/>
      <w:szCs w:val="20"/>
    </w:rPr>
  </w:style>
  <w:style w:type="table" w:styleId="86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870" w:customStyle="1">
    <w:name w:val="Heading 4"/>
    <w:basedOn w:val="764"/>
    <w:next w:val="764"/>
    <w:link w:val="1004"/>
    <w:uiPriority w:val="9"/>
    <w:qFormat/>
    <w:pPr>
      <w:keepLines/>
      <w:keepNext/>
      <w:spacing w:before="320" w:after="200"/>
      <w:outlineLvl w:val="3"/>
    </w:pPr>
    <w:rPr>
      <w:rFonts w:ascii="Arial" w:hAnsi="Arial" w:eastAsia="Arial" w:cs="Arial"/>
      <w:b/>
      <w:bCs/>
      <w:sz w:val="26"/>
      <w:szCs w:val="26"/>
    </w:rPr>
  </w:style>
  <w:style w:type="table" w:styleId="8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872" w:customStyle="1">
    <w:name w:val="Heading 1"/>
    <w:basedOn w:val="764"/>
    <w:next w:val="764"/>
    <w:link w:val="982"/>
    <w:uiPriority w:val="9"/>
    <w:qFormat/>
    <w:pPr>
      <w:keepLines/>
      <w:keepNext/>
      <w:spacing w:before="480" w:after="200"/>
      <w:outlineLvl w:val="0"/>
    </w:pPr>
    <w:rPr>
      <w:rFonts w:ascii="Arial" w:hAnsi="Arial" w:eastAsia="Arial" w:cs="Arial"/>
      <w:sz w:val="40"/>
      <w:szCs w:val="40"/>
    </w:rPr>
  </w:style>
  <w:style w:type="table" w:styleId="87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874" w:customStyle="1">
    <w:name w:val="纯文本11"/>
    <w:basedOn w:val="764"/>
    <w:uiPriority w:val="99"/>
    <w:qFormat/>
    <w:rPr>
      <w:rFonts w:ascii="宋体" w:hAnsi="Courier New"/>
      <w:szCs w:val="20"/>
    </w:r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876" w:customStyle="1">
    <w:name w:val="普通正文"/>
    <w:basedOn w:val="764"/>
    <w:uiPriority w:val="0"/>
    <w:qFormat/>
    <w:pPr>
      <w:ind w:firstLine="480"/>
      <w:jc w:val="left"/>
      <w:spacing w:before="120" w:after="120" w:line="360" w:lineRule="auto"/>
    </w:pPr>
    <w:rPr>
      <w:rFonts w:ascii="Arial" w:hAnsi="Arial"/>
      <w:sz w:val="24"/>
    </w:rPr>
  </w:style>
  <w:style w:type="character" w:styleId="877" w:customStyle="1">
    <w:name w:val="Heading 3 Char_b44b1981-d08e-43d8-9445-f3a845f9238f"/>
    <w:link w:val="878"/>
    <w:uiPriority w:val="9"/>
    <w:qFormat/>
    <w:rPr>
      <w:rFonts w:ascii="Arial" w:hAnsi="Arial" w:eastAsia="Arial" w:cs="Arial"/>
      <w:sz w:val="30"/>
      <w:szCs w:val="30"/>
    </w:rPr>
  </w:style>
  <w:style w:type="paragraph" w:styleId="878" w:customStyle="1">
    <w:name w:val="Heading 3"/>
    <w:basedOn w:val="764"/>
    <w:next w:val="764"/>
    <w:link w:val="877"/>
    <w:uiPriority w:val="9"/>
    <w:qFormat/>
    <w:pPr>
      <w:keepLines/>
      <w:keepNext/>
      <w:spacing w:before="320" w:after="200"/>
      <w:outlineLvl w:val="2"/>
    </w:pPr>
    <w:rPr>
      <w:rFonts w:ascii="Arial" w:hAnsi="Arial" w:eastAsia="Arial" w:cs="Arial"/>
      <w:sz w:val="30"/>
      <w:szCs w:val="30"/>
    </w:rPr>
  </w:style>
  <w:style w:type="table" w:styleId="879"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880" w:customStyle="1">
    <w:name w:val="font21"/>
    <w:basedOn w:val="768"/>
    <w:uiPriority w:val="0"/>
    <w:qFormat/>
    <w:rPr>
      <w:rFonts w:hint="default" w:ascii="Times New Roman" w:hAnsi="Times New Roman" w:cs="Times New Roman"/>
      <w:color w:val="000000"/>
      <w:sz w:val="24"/>
      <w:szCs w:val="24"/>
      <w:u w:val="none"/>
    </w:rPr>
  </w:style>
  <w:style w:type="table" w:styleId="8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882" w:customStyle="1">
    <w:name w:val="TOC 标题1"/>
    <w:uiPriority w:val="39"/>
    <w:qFormat/>
    <w:rPr>
      <w:rFonts w:hint="default" w:ascii="Times New Roman" w:hAnsi="Times New Roman" w:eastAsia="宋体" w:cs="Times New Roman"/>
      <w:sz w:val="21"/>
      <w:szCs w:val="22"/>
      <w:lang w:val="en-US" w:eastAsia="zh-CN" w:bidi="ar-SA"/>
    </w:rPr>
  </w:style>
  <w:style w:type="table" w:styleId="88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886" w:customStyle="1">
    <w:name w:val="Header"/>
    <w:basedOn w:val="764"/>
    <w:link w:val="1051"/>
    <w:uiPriority w:val="99"/>
    <w:qFormat/>
    <w:pPr>
      <w:tabs>
        <w:tab w:val="center" w:pos="7143" w:leader="none"/>
        <w:tab w:val="right" w:pos="14287" w:leader="none"/>
      </w:tabs>
    </w:pPr>
  </w:style>
  <w:style w:type="table" w:styleId="8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888" w:customStyle="1">
    <w:name w:val="批注框文本 Char"/>
    <w:basedOn w:val="768"/>
    <w:link w:val="779"/>
    <w:uiPriority w:val="99"/>
    <w:qFormat/>
    <w:rPr>
      <w:rFonts w:ascii="Times New Roman" w:hAnsi="Times New Roman"/>
      <w:sz w:val="18"/>
      <w:szCs w:val="18"/>
    </w:rPr>
  </w:style>
  <w:style w:type="table" w:styleId="88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892" w:customStyle="1">
    <w:name w:val="Title Char_b4b369a3-c0dc-4a1c-864f-542fcbabd844"/>
    <w:basedOn w:val="768"/>
    <w:uiPriority w:val="10"/>
    <w:qFormat/>
    <w:rPr>
      <w:sz w:val="48"/>
      <w:szCs w:val="48"/>
    </w:rPr>
  </w:style>
  <w:style w:type="table" w:styleId="893"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9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9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897" w:customStyle="1">
    <w:name w:val="Footer Char_9810c813-560c-4d63-9ee2-25cd38a8754c"/>
    <w:uiPriority w:val="99"/>
    <w:qFormat/>
  </w:style>
  <w:style w:type="paragraph" w:styleId="898" w:customStyle="1">
    <w:name w:val="标题 311"/>
    <w:basedOn w:val="764"/>
    <w:next w:val="764"/>
    <w:uiPriority w:val="0"/>
    <w:qFormat/>
    <w:pPr>
      <w:keepLines/>
      <w:keepNext/>
      <w:spacing w:before="260" w:after="260" w:line="416" w:lineRule="auto"/>
      <w:outlineLvl w:val="2"/>
    </w:pPr>
    <w:rPr>
      <w:b/>
      <w:sz w:val="32"/>
      <w:szCs w:val="20"/>
    </w:rPr>
  </w:style>
  <w:style w:type="table" w:styleId="89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01" w:customStyle="1">
    <w:name w:val="正文文本缩进1"/>
    <w:basedOn w:val="764"/>
    <w:uiPriority w:val="0"/>
    <w:qFormat/>
    <w:pPr>
      <w:ind w:firstLine="645"/>
    </w:pPr>
    <w:rPr>
      <w:rFonts w:ascii="楷体" w:eastAsia="楷体"/>
      <w:sz w:val="32"/>
      <w:szCs w:val="32"/>
    </w:rPr>
  </w:style>
  <w:style w:type="paragraph" w:styleId="902" w:customStyle="1">
    <w:name w:val="样式 小四 段前: 5 磅 段后: 5 磅 首行缩进:  2 字符"/>
    <w:basedOn w:val="764"/>
    <w:uiPriority w:val="0"/>
    <w:qFormat/>
    <w:pPr>
      <w:spacing w:line="360" w:lineRule="auto"/>
    </w:pPr>
    <w:rPr>
      <w:rFonts w:ascii="宋体" w:hAnsi="宋体"/>
    </w:rPr>
  </w:style>
  <w:style w:type="paragraph" w:styleId="903" w:customStyle="1">
    <w:name w:val="文本块1"/>
    <w:basedOn w:val="764"/>
    <w:uiPriority w:val="99"/>
    <w:qFormat/>
    <w:pPr>
      <w:ind w:left="1440" w:right="1440"/>
      <w:spacing w:after="120"/>
      <w:tabs>
        <w:tab w:val="left" w:pos="9000" w:leader="none"/>
      </w:tabs>
    </w:pPr>
  </w:style>
  <w:style w:type="table" w:styleId="904"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06"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08"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09" w:customStyle="1">
    <w:name w:val="Table Normal"/>
    <w:uiPriority w:val="0"/>
    <w:qFormat/>
    <w:tblPr>
      <w:tblCellMar>
        <w:left w:w="0" w:type="dxa"/>
        <w:top w:w="0" w:type="dxa"/>
        <w:right w:w="0" w:type="dxa"/>
        <w:bottom w:w="0" w:type="dxa"/>
      </w:tblCellMar>
    </w:tblPr>
  </w:style>
  <w:style w:type="table" w:styleId="9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12">
    <w:name w:val="Intense Quote"/>
    <w:basedOn w:val="764"/>
    <w:next w:val="764"/>
    <w:link w:val="10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1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paragraph" w:styleId="915" w:customStyle="1">
    <w:name w:val="标题 21"/>
    <w:basedOn w:val="764"/>
    <w:next w:val="867"/>
    <w:uiPriority w:val="0"/>
    <w:qFormat/>
    <w:pPr>
      <w:jc w:val="center"/>
      <w:keepLines/>
      <w:keepNext/>
      <w:spacing w:before="260" w:after="260" w:line="416" w:lineRule="auto"/>
      <w:outlineLvl w:val="1"/>
    </w:pPr>
    <w:rPr>
      <w:rFonts w:ascii="Arial" w:hAnsi="Arial" w:eastAsia="宋体" w:cs="Arial"/>
      <w:b/>
      <w:bCs/>
      <w:sz w:val="44"/>
      <w:szCs w:val="44"/>
    </w:rPr>
  </w:style>
  <w:style w:type="table" w:styleId="916"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17" w:customStyle="1">
    <w:name w:val="Heading 6 Char_2290764d-6979-4590-8bd3-c121b1f1845e"/>
    <w:link w:val="918"/>
    <w:uiPriority w:val="9"/>
    <w:qFormat/>
    <w:rPr>
      <w:rFonts w:ascii="Arial" w:hAnsi="Arial" w:eastAsia="Arial" w:cs="Arial"/>
      <w:b/>
      <w:bCs/>
      <w:sz w:val="22"/>
      <w:szCs w:val="22"/>
    </w:rPr>
  </w:style>
  <w:style w:type="paragraph" w:styleId="918" w:customStyle="1">
    <w:name w:val="Heading 6"/>
    <w:basedOn w:val="764"/>
    <w:next w:val="764"/>
    <w:link w:val="917"/>
    <w:uiPriority w:val="9"/>
    <w:qFormat/>
    <w:pPr>
      <w:keepLines/>
      <w:keepNext/>
      <w:spacing w:before="320" w:after="200"/>
      <w:outlineLvl w:val="5"/>
    </w:pPr>
    <w:rPr>
      <w:rFonts w:ascii="Arial" w:hAnsi="Arial" w:eastAsia="Arial" w:cs="Arial"/>
      <w:b/>
      <w:bCs/>
      <w:sz w:val="22"/>
      <w:szCs w:val="22"/>
    </w:rPr>
  </w:style>
  <w:style w:type="paragraph" w:styleId="919" w:customStyle="1">
    <w:name w:val="flName"/>
    <w:basedOn w:val="764"/>
    <w:uiPriority w:val="0"/>
    <w:qFormat/>
    <w:pPr>
      <w:jc w:val="center"/>
      <w:spacing w:before="320" w:after="160" w:line="360" w:lineRule="atLeast"/>
    </w:pPr>
    <w:rPr>
      <w:rFonts w:ascii="Arial" w:eastAsia="黑体"/>
      <w:sz w:val="32"/>
      <w:szCs w:val="20"/>
    </w:rPr>
  </w:style>
  <w:style w:type="table" w:styleId="92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22"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23"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character" w:styleId="924" w:customStyle="1">
    <w:name w:val="NormalCharacter1"/>
    <w:uiPriority w:val="99"/>
    <w:qFormat/>
    <w:rPr>
      <w:rFonts w:ascii="Calibri" w:hAnsi="Calibri" w:eastAsia="宋体"/>
    </w:rPr>
  </w:style>
  <w:style w:type="paragraph" w:styleId="925" w:customStyle="1">
    <w:name w:val="pa-5"/>
    <w:basedOn w:val="764"/>
    <w:uiPriority w:val="0"/>
    <w:qFormat/>
    <w:pPr>
      <w:jc w:val="left"/>
      <w:spacing w:before="150" w:after="150"/>
      <w:widowControl/>
    </w:pPr>
    <w:rPr>
      <w:rFonts w:ascii="宋体" w:hAnsi="宋体" w:cs="宋体"/>
      <w:color w:val="000000"/>
      <w:sz w:val="24"/>
    </w:rPr>
  </w:style>
  <w:style w:type="character" w:styleId="926" w:customStyle="1">
    <w:name w:val="Heading 2 Char_5c8af6f5-e48a-4634-bbf8-b2e5c568ca8f"/>
    <w:link w:val="927"/>
    <w:uiPriority w:val="9"/>
    <w:qFormat/>
    <w:rPr>
      <w:rFonts w:ascii="Arial" w:hAnsi="Arial" w:eastAsia="Arial" w:cs="Arial"/>
      <w:sz w:val="34"/>
    </w:rPr>
  </w:style>
  <w:style w:type="paragraph" w:styleId="927" w:customStyle="1">
    <w:name w:val="Heading 2"/>
    <w:basedOn w:val="764"/>
    <w:next w:val="764"/>
    <w:link w:val="926"/>
    <w:uiPriority w:val="9"/>
    <w:qFormat/>
    <w:pPr>
      <w:keepLines/>
      <w:keepNext/>
      <w:spacing w:before="360" w:after="200"/>
      <w:outlineLvl w:val="1"/>
    </w:pPr>
    <w:rPr>
      <w:rFonts w:ascii="Arial" w:hAnsi="Arial" w:eastAsia="Arial" w:cs="Arial"/>
      <w:sz w:val="34"/>
    </w:r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929" w:customStyle="1">
    <w:name w:val="尾注文本 Char"/>
    <w:link w:val="778"/>
    <w:uiPriority w:val="99"/>
    <w:qFormat/>
    <w:rPr>
      <w:sz w:val="20"/>
    </w:rPr>
  </w:style>
  <w:style w:type="character" w:styleId="930" w:customStyle="1">
    <w:name w:val="Footnote Text Char"/>
    <w:uiPriority w:val="99"/>
    <w:qFormat/>
    <w:rPr>
      <w:sz w:val="18"/>
    </w:rPr>
  </w:style>
  <w:style w:type="paragraph" w:styleId="931" w:customStyle="1">
    <w:name w:val="批注文字1"/>
    <w:basedOn w:val="764"/>
    <w:uiPriority w:val="0"/>
    <w:qFormat/>
    <w:pPr>
      <w:jc w:val="left"/>
    </w:pPr>
    <w:rPr>
      <w:rFonts w:ascii="Calibri" w:hAnsi="Calibri"/>
      <w:szCs w:val="22"/>
    </w:rPr>
  </w:style>
  <w:style w:type="table" w:styleId="932"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933" w:customStyle="1">
    <w:name w:val="font31"/>
    <w:basedOn w:val="768"/>
    <w:uiPriority w:val="0"/>
    <w:qFormat/>
    <w:rPr>
      <w:rFonts w:hint="eastAsia" w:ascii="宋体" w:hAnsi="宋体" w:eastAsia="宋体" w:cs="宋体"/>
      <w:color w:val="000000"/>
      <w:sz w:val="19"/>
      <w:szCs w:val="19"/>
      <w:u w:val="none"/>
    </w:rPr>
  </w:style>
  <w:style w:type="table" w:styleId="93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935" w:customStyle="1">
    <w:name w:val="Heading 5"/>
    <w:basedOn w:val="764"/>
    <w:next w:val="764"/>
    <w:link w:val="1035"/>
    <w:uiPriority w:val="9"/>
    <w:qFormat/>
    <w:pPr>
      <w:keepLines/>
      <w:keepNext/>
      <w:spacing w:before="320" w:after="200"/>
      <w:outlineLvl w:val="4"/>
    </w:pPr>
    <w:rPr>
      <w:rFonts w:ascii="Arial" w:hAnsi="Arial" w:eastAsia="Arial" w:cs="Arial"/>
      <w:b/>
      <w:bCs/>
      <w:sz w:val="24"/>
    </w:rPr>
  </w:style>
  <w:style w:type="paragraph" w:styleId="936" w:customStyle="1">
    <w:name w:val="页脚1"/>
    <w:basedOn w:val="764"/>
    <w:uiPriority w:val="0"/>
    <w:qFormat/>
    <w:pPr>
      <w:jc w:val="left"/>
      <w:tabs>
        <w:tab w:val="center" w:pos="4153" w:leader="none"/>
        <w:tab w:val="right" w:pos="8306" w:leader="none"/>
      </w:tabs>
    </w:pPr>
    <w:rPr>
      <w:sz w:val="18"/>
      <w:szCs w:val="18"/>
    </w:rPr>
  </w:style>
  <w:style w:type="table" w:styleId="93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938" w:customStyle="1">
    <w:name w:val="Intense Quote Char_cd88471f-87b8-480c-ab55-e1b012420c09"/>
    <w:uiPriority w:val="30"/>
    <w:qFormat/>
    <w:rPr>
      <w:i/>
    </w:rPr>
  </w:style>
  <w:style w:type="table" w:styleId="93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40"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paragraph" w:styleId="94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2" w:customStyle="1">
    <w:name w:val="目录 11"/>
    <w:basedOn w:val="764"/>
    <w:next w:val="764"/>
    <w:uiPriority w:val="0"/>
    <w:qFormat/>
    <w:pPr>
      <w:jc w:val="left"/>
      <w:spacing w:before="120" w:after="120" w:line="300" w:lineRule="exact"/>
      <w:tabs>
        <w:tab w:val="right" w:pos="9440" w:leader="dot"/>
      </w:tabs>
    </w:pPr>
    <w:rPr>
      <w:rFonts w:ascii="黑体" w:eastAsia="黑体"/>
      <w:b/>
      <w:caps/>
      <w:sz w:val="18"/>
      <w:szCs w:val="28"/>
    </w:rPr>
  </w:style>
  <w:style w:type="table" w:styleId="9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4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46"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948" w:customStyle="1">
    <w:name w:val="Heading 9"/>
    <w:basedOn w:val="764"/>
    <w:next w:val="764"/>
    <w:link w:val="1003"/>
    <w:uiPriority w:val="9"/>
    <w:qFormat/>
    <w:pPr>
      <w:keepLines/>
      <w:keepNext/>
      <w:spacing w:before="320" w:after="200"/>
      <w:outlineLvl w:val="8"/>
    </w:pPr>
    <w:rPr>
      <w:rFonts w:ascii="Arial" w:hAnsi="Arial" w:eastAsia="Arial" w:cs="Arial"/>
      <w:i/>
      <w:iCs/>
      <w:szCs w:val="21"/>
    </w:rPr>
  </w:style>
  <w:style w:type="table" w:styleId="9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1"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952" w:customStyle="1">
    <w:name w:val="Body text|1"/>
    <w:basedOn w:val="764"/>
    <w:uiPriority w:val="0"/>
    <w:qFormat/>
    <w:pPr>
      <w:ind w:firstLine="320"/>
      <w:spacing w:line="466" w:lineRule="auto"/>
    </w:pPr>
    <w:rPr>
      <w:rFonts w:ascii="宋体" w:hAnsi="宋体" w:cs="宋体"/>
      <w:sz w:val="20"/>
      <w:szCs w:val="20"/>
      <w:lang w:val="zh-TW" w:eastAsia="zh-TW" w:bidi="zh-TW"/>
    </w:rPr>
  </w:style>
  <w:style w:type="table" w:styleId="953"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955" w:customStyle="1">
    <w:name w:val="列出段落1"/>
    <w:basedOn w:val="764"/>
    <w:uiPriority w:val="0"/>
    <w:qFormat/>
    <w:pPr>
      <w:contextualSpacing/>
      <w:ind w:left="720"/>
      <w:jc w:val="left"/>
      <w:widowControl/>
    </w:pPr>
    <w:rPr>
      <w:rFonts w:ascii="Calibri" w:hAnsi="Calibri"/>
      <w:sz w:val="24"/>
      <w:lang w:eastAsia="en-US" w:bidi="en-US"/>
    </w:rPr>
  </w:style>
  <w:style w:type="paragraph" w:styleId="956" w:customStyle="1">
    <w:name w:val="正文缩进12"/>
    <w:basedOn w:val="764"/>
    <w:uiPriority w:val="0"/>
    <w:qFormat/>
    <w:pPr>
      <w:ind w:firstLine="420"/>
      <w:jc w:val="left"/>
      <w:spacing w:line="360" w:lineRule="auto"/>
    </w:pPr>
    <w:rPr>
      <w:rFonts w:ascii="宋体" w:hAnsi="宋体" w:cs="宋体"/>
      <w:color w:val="000000"/>
      <w:sz w:val="24"/>
      <w:szCs w:val="21"/>
    </w:rPr>
  </w:style>
  <w:style w:type="table" w:styleId="95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58"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character" w:styleId="959" w:customStyle="1">
    <w:name w:val="默认段落字体1"/>
    <w:uiPriority w:val="0"/>
    <w:qFormat/>
  </w:style>
  <w:style w:type="table" w:styleId="9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962" w:customStyle="1">
    <w:name w:val="font11"/>
    <w:basedOn w:val="768"/>
    <w:uiPriority w:val="0"/>
    <w:qFormat/>
    <w:rPr>
      <w:rFonts w:hint="eastAsia" w:ascii="宋体" w:hAnsi="宋体" w:eastAsia="宋体" w:cs="宋体"/>
      <w:b/>
      <w:bCs/>
      <w:color w:val="000000"/>
      <w:sz w:val="21"/>
      <w:szCs w:val="21"/>
      <w:u w:val="none"/>
    </w:rPr>
  </w:style>
  <w:style w:type="table" w:styleId="963"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6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6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6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967" w:customStyle="1">
    <w:name w:val="日期1"/>
    <w:basedOn w:val="764"/>
    <w:next w:val="764"/>
    <w:uiPriority w:val="0"/>
    <w:qFormat/>
    <w:rPr>
      <w:sz w:val="24"/>
      <w:szCs w:val="20"/>
    </w:rPr>
  </w:style>
  <w:style w:type="paragraph" w:styleId="968" w:customStyle="1">
    <w:name w:val="pa-6"/>
    <w:basedOn w:val="764"/>
    <w:uiPriority w:val="0"/>
    <w:qFormat/>
    <w:pPr>
      <w:jc w:val="left"/>
      <w:spacing w:before="150" w:after="150"/>
      <w:widowControl/>
    </w:pPr>
    <w:rPr>
      <w:rFonts w:ascii="宋体" w:hAnsi="宋体" w:cs="宋体"/>
      <w:color w:val="000000"/>
      <w:sz w:val="24"/>
    </w:rPr>
  </w:style>
  <w:style w:type="table" w:styleId="969"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70">
    <w:name w:val="List Paragraph"/>
    <w:basedOn w:val="764"/>
    <w:uiPriority w:val="34"/>
    <w:qFormat/>
    <w:pPr>
      <w:contextualSpacing/>
      <w:ind w:left="720"/>
    </w:pPr>
  </w:style>
  <w:style w:type="table" w:styleId="9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7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7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97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975" w:customStyle="1">
    <w:name w:val="纯文本1"/>
    <w:basedOn w:val="764"/>
    <w:uiPriority w:val="0"/>
    <w:qFormat/>
    <w:rPr>
      <w:rFonts w:ascii="宋体" w:hAnsi="Courier New" w:eastAsia="楷体"/>
      <w:sz w:val="26"/>
    </w:rPr>
  </w:style>
  <w:style w:type="paragraph" w:styleId="976" w:customStyle="1">
    <w:name w:val="Table Paragraph"/>
    <w:basedOn w:val="764"/>
    <w:uiPriority w:val="1"/>
    <w:qFormat/>
    <w:pPr>
      <w:ind w:left="348"/>
    </w:pPr>
    <w:rPr>
      <w:rFonts w:ascii="宋体" w:hAnsi="宋体" w:eastAsia="宋体" w:cs="宋体"/>
      <w:lang w:val="zh-CN" w:bidi="zh-CN"/>
    </w:rPr>
  </w:style>
  <w:style w:type="paragraph" w:styleId="977" w:customStyle="1">
    <w:name w:val="普通(网站)1"/>
    <w:basedOn w:val="764"/>
    <w:uiPriority w:val="99"/>
    <w:qFormat/>
    <w:pPr>
      <w:jc w:val="left"/>
      <w:spacing w:before="100" w:beforeAutospacing="1" w:after="100" w:afterAutospacing="1"/>
      <w:widowControl/>
    </w:pPr>
    <w:rPr>
      <w:rFonts w:ascii="宋体" w:hAnsi="宋体" w:cs="宋体"/>
      <w:sz w:val="24"/>
    </w:rPr>
  </w:style>
  <w:style w:type="paragraph" w:styleId="978"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table" w:styleId="97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982" w:customStyle="1">
    <w:name w:val="Heading 1 Char_d4af410d-dfd8-408c-bcbd-0b5a38582c10"/>
    <w:link w:val="872"/>
    <w:uiPriority w:val="9"/>
    <w:qFormat/>
    <w:rPr>
      <w:rFonts w:ascii="Arial" w:hAnsi="Arial" w:eastAsia="Arial" w:cs="Arial"/>
      <w:sz w:val="40"/>
      <w:szCs w:val="40"/>
    </w:rPr>
  </w:style>
  <w:style w:type="table" w:styleId="98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984" w:customStyle="1">
    <w:name w:val="普通(网站)11"/>
    <w:basedOn w:val="764"/>
    <w:uiPriority w:val="0"/>
    <w:qFormat/>
    <w:pPr>
      <w:jc w:val="left"/>
      <w:spacing w:before="100" w:beforeAutospacing="1" w:after="100" w:afterAutospacing="1"/>
      <w:widowControl/>
    </w:pPr>
    <w:rPr>
      <w:rFonts w:ascii="宋体" w:hAnsi="宋体" w:cs="宋体"/>
      <w:sz w:val="24"/>
    </w:rPr>
  </w:style>
  <w:style w:type="paragraph" w:styleId="985" w:customStyle="1">
    <w:name w:val="pa-3"/>
    <w:basedOn w:val="764"/>
    <w:uiPriority w:val="0"/>
    <w:qFormat/>
    <w:pPr>
      <w:jc w:val="left"/>
      <w:spacing w:before="150" w:after="150"/>
      <w:widowControl/>
    </w:pPr>
    <w:rPr>
      <w:rFonts w:ascii="宋体" w:hAnsi="宋体" w:cs="宋体"/>
      <w:color w:val="000000"/>
      <w:sz w:val="24"/>
    </w:rPr>
  </w:style>
  <w:style w:type="table" w:styleId="986"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988" w:customStyle="1">
    <w:name w:val="TOC 标题111"/>
    <w:uiPriority w:val="39"/>
    <w:qFormat/>
    <w:rPr>
      <w:rFonts w:hint="default" w:ascii="Times New Roman" w:hAnsi="Times New Roman" w:eastAsia="宋体" w:cs="Times New Roman"/>
      <w:sz w:val="21"/>
      <w:szCs w:val="22"/>
      <w:lang w:val="en-US" w:eastAsia="zh-CN" w:bidi="ar-SA"/>
    </w:rPr>
  </w:style>
  <w:style w:type="table" w:styleId="98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9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991" w:customStyle="1">
    <w:name w:val="正文文本1"/>
    <w:basedOn w:val="764"/>
    <w:next w:val="992"/>
    <w:uiPriority w:val="0"/>
    <w:qFormat/>
    <w:rPr>
      <w:rFonts w:ascii="楷体" w:hAnsi="Arial" w:eastAsia="楷体"/>
      <w:sz w:val="28"/>
      <w:szCs w:val="20"/>
    </w:rPr>
  </w:style>
  <w:style w:type="paragraph" w:styleId="992" w:customStyle="1">
    <w:name w:val="正文文本 21"/>
    <w:basedOn w:val="764"/>
    <w:uiPriority w:val="0"/>
    <w:qFormat/>
    <w:pPr>
      <w:jc w:val="center"/>
    </w:pPr>
    <w:rPr>
      <w:rFonts w:ascii="仿宋" w:eastAsia="仿宋"/>
      <w:sz w:val="44"/>
    </w:rPr>
  </w:style>
  <w:style w:type="table" w:styleId="99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94" w:customStyle="1">
    <w:name w:val="段"/>
    <w:next w:val="764"/>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995" w:customStyle="1">
    <w:name w:val="引用 Char"/>
    <w:link w:val="996"/>
    <w:uiPriority w:val="29"/>
    <w:qFormat/>
    <w:rPr>
      <w:i/>
    </w:rPr>
  </w:style>
  <w:style w:type="paragraph" w:styleId="996">
    <w:name w:val="Quote"/>
    <w:basedOn w:val="764"/>
    <w:next w:val="764"/>
    <w:link w:val="995"/>
    <w:uiPriority w:val="29"/>
    <w:qFormat/>
    <w:pPr>
      <w:ind w:left="720" w:right="720"/>
    </w:pPr>
    <w:rPr>
      <w:i/>
    </w:rPr>
  </w:style>
  <w:style w:type="table" w:styleId="997"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9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999" w:customStyle="1">
    <w:name w:val="页眉 Char"/>
    <w:basedOn w:val="768"/>
    <w:link w:val="781"/>
    <w:uiPriority w:val="99"/>
    <w:qFormat/>
    <w:rPr>
      <w:rFonts w:ascii="Times New Roman" w:hAnsi="Times New Roman"/>
      <w:sz w:val="18"/>
      <w:szCs w:val="18"/>
    </w:rPr>
  </w:style>
  <w:style w:type="paragraph" w:styleId="1000" w:customStyle="1">
    <w:name w:val="正文首行缩进 21"/>
    <w:basedOn w:val="901"/>
    <w:uiPriority w:val="0"/>
    <w:qFormat/>
    <w:pPr>
      <w:ind w:firstLine="420"/>
      <w:spacing w:line="360" w:lineRule="auto"/>
    </w:pPr>
    <w:rPr>
      <w:rFonts w:ascii="宋体" w:hAnsi="宋体" w:eastAsia="宋体"/>
      <w:sz w:val="21"/>
      <w:szCs w:val="20"/>
    </w:rPr>
  </w:style>
  <w:style w:type="table" w:styleId="1001"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0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1003" w:customStyle="1">
    <w:name w:val="Heading 9 Char_dff5989d-488f-4bce-8721-1e40fadef25a"/>
    <w:link w:val="948"/>
    <w:uiPriority w:val="9"/>
    <w:qFormat/>
    <w:rPr>
      <w:rFonts w:ascii="Arial" w:hAnsi="Arial" w:eastAsia="Arial" w:cs="Arial"/>
      <w:i/>
      <w:iCs/>
      <w:sz w:val="21"/>
      <w:szCs w:val="21"/>
    </w:rPr>
  </w:style>
  <w:style w:type="character" w:styleId="1004" w:customStyle="1">
    <w:name w:val="Heading 4 Char_c31a3291-bfa4-4d7b-9792-7b59c18d4e2b"/>
    <w:link w:val="870"/>
    <w:uiPriority w:val="9"/>
    <w:qFormat/>
    <w:rPr>
      <w:rFonts w:ascii="Arial" w:hAnsi="Arial" w:eastAsia="Arial" w:cs="Arial"/>
      <w:b/>
      <w:bCs/>
      <w:sz w:val="26"/>
      <w:szCs w:val="26"/>
    </w:rPr>
  </w:style>
  <w:style w:type="table" w:styleId="10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06"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character" w:styleId="1007" w:customStyle="1">
    <w:name w:val="明显引用 Char"/>
    <w:link w:val="912"/>
    <w:uiPriority w:val="30"/>
    <w:qFormat/>
    <w:rPr>
      <w:i/>
    </w:rPr>
  </w:style>
  <w:style w:type="table" w:styleId="100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1009" w:customStyle="1">
    <w:name w:val="Endnote Text Char"/>
    <w:uiPriority w:val="99"/>
    <w:qFormat/>
    <w:rPr>
      <w:sz w:val="20"/>
    </w:rPr>
  </w:style>
  <w:style w:type="table" w:styleId="10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1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1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13" w:customStyle="1">
    <w:name w:val="TOC 标题11"/>
    <w:uiPriority w:val="39"/>
    <w:qFormat/>
    <w:rPr>
      <w:rFonts w:hint="default" w:ascii="Calibri" w:hAnsi="Calibri" w:eastAsia="宋体" w:cs="Times New Roman"/>
      <w:sz w:val="21"/>
      <w:szCs w:val="22"/>
      <w:lang w:val="en-US" w:eastAsia="zh-CN" w:bidi="ar-SA"/>
    </w:rPr>
  </w:style>
  <w:style w:type="table" w:styleId="101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15" w:customStyle="1">
    <w:name w:val="标题 41"/>
    <w:basedOn w:val="764"/>
    <w:next w:val="764"/>
    <w:uiPriority w:val="0"/>
    <w:qFormat/>
    <w:pPr>
      <w:keepLines/>
      <w:keepNext/>
      <w:spacing w:before="280" w:after="290" w:line="376" w:lineRule="auto"/>
      <w:outlineLvl w:val="3"/>
    </w:pPr>
    <w:rPr>
      <w:rFonts w:ascii="Arial" w:hAnsi="Arial" w:eastAsia="黑体" w:cs="Arial"/>
      <w:b/>
      <w:bCs/>
      <w:sz w:val="28"/>
      <w:szCs w:val="28"/>
    </w:rPr>
  </w:style>
  <w:style w:type="paragraph" w:styleId="1016" w:customStyle="1">
    <w:name w:val="Caption"/>
    <w:basedOn w:val="764"/>
    <w:next w:val="764"/>
    <w:uiPriority w:val="35"/>
    <w:qFormat/>
    <w:pPr>
      <w:spacing w:line="276" w:lineRule="auto"/>
    </w:pPr>
    <w:rPr>
      <w:b/>
      <w:bCs/>
      <w:color w:val="4f81bd"/>
      <w:sz w:val="18"/>
      <w:szCs w:val="18"/>
    </w:rPr>
  </w:style>
  <w:style w:type="table" w:styleId="1017"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101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2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2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2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24" w:customStyle="1">
    <w:name w:val="Body text|4"/>
    <w:basedOn w:val="764"/>
    <w:uiPriority w:val="0"/>
    <w:qFormat/>
    <w:pPr>
      <w:ind w:hanging="1540"/>
    </w:pPr>
    <w:rPr>
      <w:sz w:val="20"/>
      <w:szCs w:val="20"/>
      <w:lang w:val="zh-CN"/>
    </w:rPr>
  </w:style>
  <w:style w:type="table" w:styleId="102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26" w:customStyle="1">
    <w:name w:val="页码1"/>
    <w:uiPriority w:val="0"/>
    <w:qFormat/>
  </w:style>
  <w:style w:type="table" w:styleId="1027"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10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29"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030"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3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032" w:customStyle="1">
    <w:name w:val="标题 31"/>
    <w:basedOn w:val="764"/>
    <w:next w:val="764"/>
    <w:uiPriority w:val="0"/>
    <w:qFormat/>
    <w:pPr>
      <w:keepLines/>
      <w:keepNext/>
      <w:spacing w:before="260" w:after="260" w:line="416" w:lineRule="auto"/>
      <w:outlineLvl w:val="2"/>
    </w:pPr>
    <w:rPr>
      <w:b/>
      <w:bCs/>
      <w:sz w:val="32"/>
      <w:szCs w:val="32"/>
    </w:rPr>
  </w:style>
  <w:style w:type="paragraph" w:styleId="1033" w:customStyle="1">
    <w:name w:val="纯文本2"/>
    <w:basedOn w:val="764"/>
    <w:uiPriority w:val="0"/>
    <w:qFormat/>
    <w:rPr>
      <w:rFonts w:ascii="宋体" w:hAnsi="Courier New" w:eastAsia="楷体"/>
      <w:sz w:val="28"/>
      <w:szCs w:val="20"/>
    </w:rPr>
  </w:style>
  <w:style w:type="table" w:styleId="10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035" w:customStyle="1">
    <w:name w:val="Heading 5 Char_23cf5061-de88-43b9-8d64-289936838cdf"/>
    <w:link w:val="935"/>
    <w:uiPriority w:val="9"/>
    <w:qFormat/>
    <w:rPr>
      <w:rFonts w:ascii="Arial" w:hAnsi="Arial" w:eastAsia="Arial" w:cs="Arial"/>
      <w:b/>
      <w:bCs/>
      <w:sz w:val="24"/>
      <w:szCs w:val="24"/>
    </w:rPr>
  </w:style>
  <w:style w:type="table" w:styleId="1036"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037" w:customStyle="1">
    <w:name w:val="Char"/>
    <w:basedOn w:val="764"/>
    <w:uiPriority w:val="0"/>
    <w:qFormat/>
    <w:pPr>
      <w:tabs>
        <w:tab w:val="left" w:pos="360" w:leader="none"/>
      </w:tabs>
    </w:pPr>
    <w:rPr>
      <w:sz w:val="24"/>
    </w:rPr>
  </w:style>
  <w:style w:type="paragraph" w:styleId="1038" w:customStyle="1">
    <w:name w:val="页眉11"/>
    <w:basedOn w:val="764"/>
    <w:uiPriority w:val="0"/>
    <w:qFormat/>
    <w:pPr>
      <w:jc w:val="center"/>
      <w:tabs>
        <w:tab w:val="center" w:pos="4153" w:leader="none"/>
        <w:tab w:val="right" w:pos="8306" w:leader="none"/>
      </w:tabs>
      <w:pBdr>
        <w:bottom w:val="single" w:color="000000" w:sz="6" w:space="1"/>
      </w:pBdr>
    </w:pPr>
    <w:rPr>
      <w:sz w:val="18"/>
      <w:szCs w:val="18"/>
    </w:r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040" w:customStyle="1">
    <w:name w:val="正文首行缩进1"/>
    <w:basedOn w:val="764"/>
    <w:next w:val="858"/>
    <w:uiPriority w:val="99"/>
    <w:qFormat/>
    <w:pPr>
      <w:ind w:firstLine="200"/>
      <w:spacing w:line="360" w:lineRule="auto"/>
    </w:pPr>
    <w:rPr>
      <w:rFonts w:ascii="仿宋" w:eastAsia="仿宋"/>
      <w:sz w:val="30"/>
      <w:szCs w:val="30"/>
    </w:rPr>
  </w:style>
  <w:style w:type="paragraph" w:styleId="1041" w:customStyle="1">
    <w:name w:val="TOC 标题2"/>
    <w:basedOn w:val="765"/>
    <w:next w:val="764"/>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042" w:customStyle="1">
    <w:name w:val="Footer"/>
    <w:basedOn w:val="764"/>
    <w:link w:val="1043"/>
    <w:uiPriority w:val="99"/>
    <w:qFormat/>
    <w:pPr>
      <w:tabs>
        <w:tab w:val="center" w:pos="7143" w:leader="none"/>
        <w:tab w:val="right" w:pos="14287" w:leader="none"/>
      </w:tabs>
    </w:pPr>
  </w:style>
  <w:style w:type="character" w:styleId="1043" w:customStyle="1">
    <w:name w:val="Caption Char"/>
    <w:link w:val="1042"/>
    <w:uiPriority w:val="99"/>
    <w:qFormat/>
  </w:style>
  <w:style w:type="table" w:styleId="104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045" w:customStyle="1">
    <w:name w:val="正文首行缩进 212"/>
    <w:basedOn w:val="819"/>
    <w:next w:val="956"/>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04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4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049" w:customStyle="1">
    <w:name w:val="Quote Char_e5e4ffb8-e2c5-436f-adcb-072f9351b8ac"/>
    <w:uiPriority w:val="29"/>
    <w:qFormat/>
    <w:rPr>
      <w:i/>
    </w:rPr>
  </w:style>
  <w:style w:type="character" w:styleId="1050" w:customStyle="1">
    <w:name w:val="标题 1 Char"/>
    <w:basedOn w:val="768"/>
    <w:link w:val="765"/>
    <w:uiPriority w:val="9"/>
    <w:qFormat/>
    <w:rPr>
      <w:rFonts w:ascii="Times New Roman" w:hAnsi="Times New Roman"/>
      <w:b/>
      <w:bCs/>
      <w:sz w:val="44"/>
      <w:szCs w:val="44"/>
    </w:rPr>
  </w:style>
  <w:style w:type="character" w:styleId="1051" w:customStyle="1">
    <w:name w:val="Header Char_be4f24b2-7f17-4af0-8f33-0590e26a917c"/>
    <w:link w:val="886"/>
    <w:uiPriority w:val="99"/>
    <w:qFormat/>
  </w:style>
  <w:style w:type="table" w:styleId="1052" w:customStyle="1">
    <w:name w:val="普通表格1"/>
    <w:uiPriority w:val="0"/>
    <w:qFormat/>
    <w:tblPr>
      <w:tblCellMar>
        <w:left w:w="0" w:type="dxa"/>
        <w:top w:w="0" w:type="dxa"/>
        <w:right w:w="0" w:type="dxa"/>
        <w:bottom w:w="0" w:type="dxa"/>
      </w:tblCellMar>
    </w:tbl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胡荣艳</cp:lastModifiedBy>
  <cp:revision>10</cp:revision>
  <dcterms:created xsi:type="dcterms:W3CDTF">2025-07-18T16:12:00Z</dcterms:created>
  <dcterms:modified xsi:type="dcterms:W3CDTF">2025-12-23T12:54:26Z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eyJoZGlkIjoiZjZmMTU1ZmU3M2QyZDY2MTY4OGUyYzU0NDIxNTUzNTQiLCJ1c2VySWQiOiIyOTcyMTgzMDIifQ==</vt:lpwstr>
  </property>
  <property fmtid="{D5CDD505-2E9C-101B-9397-08002B2CF9AE}" pid="3" name="KSOProductBuildVer">
    <vt:lpwstr>2052-12.1.0.24034</vt:lpwstr>
  </property>
  <property fmtid="{D5CDD505-2E9C-101B-9397-08002B2CF9AE}" pid="4" name="ICV">
    <vt:lpwstr>9A9FDD53BF9849F897B6DE0F500E6640_13</vt:lpwstr>
  </property>
</Properties>
</file>